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0bb17" w14:textId="c90bb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"Қалдықтарды жинауды, тасымалдауды, қайта өңдеуді, залалсыздандыруды, пайдалануды және (немесе) кәдеге жаратуды ұйымдастырғаны үшін төлемақыны есептеу әдістемесін бекіту туралы" Қазақстан Республикасы Энергетика министрiнің 2015 жылғы 25 желтоқсандағы № 762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2019 жылғы 2 мамырдағы № 149 бұйрығы. Қазақстан Республикасының Әділет министрлігінде 2019 жылғы 4 мамырда № 18626 болып тіркелді. Күші жойылды - Қазақстан Республикасы Экология, геология және табиғи ресурстар министрінің м.а. 2021 жылғы 2 қарашадағы № 448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м.а. 02.02.2021 </w:t>
      </w:r>
      <w:r>
        <w:rPr>
          <w:rFonts w:ascii="Times New Roman"/>
          <w:b w:val="false"/>
          <w:i w:val="false"/>
          <w:color w:val="ff0000"/>
          <w:sz w:val="28"/>
        </w:rPr>
        <w:t>№ 448</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"Қалдықтарды жинауды, тасымалдауды, қайта өңдеуді, залалсыздандыруды, пайдалануды және (немесе) кәдеге жаратуды ұйымдастырғаны үшін төлемақыны есептеу әдістемесін бекіту туралы" Қазақстан Республикасы Энергетика министрінің 2015 жылғы 25 желтоқсандағы № 762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12753 тіркелген, "Әділет" ақпараттық-құқықтық жүйесінде 2016 жылғы 19 қаңтарда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Қалдықтарды жинауды, тасымалдауды, қайта өңдеуді, залалсыздандыруды, пайдалануды және (немесе) кәдеге жаратуды ұйымдастырғаны үшін төлемақыны есептеу әдістемесін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көрсетілуге тиіс.</w:t>
      </w:r>
    </w:p>
    <w:bookmarkEnd w:id="2"/>
    <w:bookmarkStart w:name="z4" w:id="3"/>
    <w:p>
      <w:pPr>
        <w:spacing w:after="0"/>
        <w:ind w:left="0"/>
        <w:jc w:val="both"/>
      </w:pPr>
      <w:r>
        <w:rPr>
          <w:rFonts w:ascii="Times New Roman"/>
          <w:b w:val="false"/>
          <w:i w:val="false"/>
          <w:color w:val="000000"/>
          <w:sz w:val="28"/>
        </w:rPr>
        <w:t>
      2. Қазақстан Республикасы Энергетика министрлігінің Қалдықтарды басқару департаменті Қазақстан Республикасы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2 мамырдағы</w:t>
            </w:r>
            <w:r>
              <w:br/>
            </w:r>
            <w:r>
              <w:rPr>
                <w:rFonts w:ascii="Times New Roman"/>
                <w:b w:val="false"/>
                <w:i w:val="false"/>
                <w:color w:val="000000"/>
                <w:sz w:val="20"/>
              </w:rPr>
              <w:t>№ 149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 жинауды,</w:t>
            </w:r>
            <w:r>
              <w:br/>
            </w:r>
            <w:r>
              <w:rPr>
                <w:rFonts w:ascii="Times New Roman"/>
                <w:b w:val="false"/>
                <w:i w:val="false"/>
                <w:color w:val="000000"/>
                <w:sz w:val="20"/>
              </w:rPr>
              <w:t>тасымалдауды, қайта өңдеуді,</w:t>
            </w:r>
            <w:r>
              <w:br/>
            </w:r>
            <w:r>
              <w:rPr>
                <w:rFonts w:ascii="Times New Roman"/>
                <w:b w:val="false"/>
                <w:i w:val="false"/>
                <w:color w:val="000000"/>
                <w:sz w:val="20"/>
              </w:rPr>
              <w:t xml:space="preserve">залалсыздандыруды, </w:t>
            </w:r>
            <w:r>
              <w:br/>
            </w:r>
            <w:r>
              <w:rPr>
                <w:rFonts w:ascii="Times New Roman"/>
                <w:b w:val="false"/>
                <w:i w:val="false"/>
                <w:color w:val="000000"/>
                <w:sz w:val="20"/>
              </w:rPr>
              <w:t xml:space="preserve">пайдалануды және (немесе) </w:t>
            </w:r>
            <w:r>
              <w:br/>
            </w:r>
            <w:r>
              <w:rPr>
                <w:rFonts w:ascii="Times New Roman"/>
                <w:b w:val="false"/>
                <w:i w:val="false"/>
                <w:color w:val="000000"/>
                <w:sz w:val="20"/>
              </w:rPr>
              <w:t>кәдеге жаратуды</w:t>
            </w:r>
            <w:r>
              <w:br/>
            </w:r>
            <w:r>
              <w:rPr>
                <w:rFonts w:ascii="Times New Roman"/>
                <w:b w:val="false"/>
                <w:i w:val="false"/>
                <w:color w:val="000000"/>
                <w:sz w:val="20"/>
              </w:rPr>
              <w:t xml:space="preserve">ұйымдастырғаны үшін </w:t>
            </w:r>
            <w:r>
              <w:br/>
            </w:r>
            <w:r>
              <w:rPr>
                <w:rFonts w:ascii="Times New Roman"/>
                <w:b w:val="false"/>
                <w:i w:val="false"/>
                <w:color w:val="000000"/>
                <w:sz w:val="20"/>
              </w:rPr>
              <w:t xml:space="preserve">төлемақыны есептеу </w:t>
            </w:r>
            <w:r>
              <w:br/>
            </w:r>
            <w:r>
              <w:rPr>
                <w:rFonts w:ascii="Times New Roman"/>
                <w:b w:val="false"/>
                <w:i w:val="false"/>
                <w:color w:val="000000"/>
                <w:sz w:val="20"/>
              </w:rPr>
              <w:t>әдістемесіне</w:t>
            </w:r>
            <w:r>
              <w:br/>
            </w:r>
            <w:r>
              <w:rPr>
                <w:rFonts w:ascii="Times New Roman"/>
                <w:b w:val="false"/>
                <w:i w:val="false"/>
                <w:color w:val="000000"/>
                <w:sz w:val="20"/>
              </w:rPr>
              <w:t>қосымша</w:t>
            </w:r>
          </w:p>
        </w:tc>
      </w:tr>
    </w:tbl>
    <w:bookmarkStart w:name="z13" w:id="10"/>
    <w:p>
      <w:pPr>
        <w:spacing w:after="0"/>
        <w:ind w:left="0"/>
        <w:jc w:val="left"/>
      </w:pPr>
      <w:r>
        <w:rPr>
          <w:rFonts w:ascii="Times New Roman"/>
          <w:b/>
          <w:i w:val="false"/>
          <w:color w:val="000000"/>
        </w:rPr>
        <w:t xml:space="preserve"> Автомобиль көлік құралдарына қатысты кәдеге жарату төлемақысының негізгі мөлшерлемесі және коэффициенттері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түрлері және санаттары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жаратудың негізгі мөлшерлемесі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көлік құралдарына қатысты кәдеге жаратудың негізгі мөлшерлемесіне қолданылатын коэффициенттері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М1 санатының көлік құралдары, соның ішінде G санатының жүріп өту мүмкіндігі жоғары: жеңіл автомобильдер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Буданды күштік қондырғысы бар көлік құралдарынан басқа, электр қозғалтқышы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жұмыс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см</w:t>
            </w:r>
            <w:r>
              <w:rPr>
                <w:rFonts w:ascii="Times New Roman"/>
                <w:b w:val="false"/>
                <w:i w:val="false"/>
                <w:color w:val="000000"/>
                <w:vertAlign w:val="superscript"/>
              </w:rPr>
              <w:t>3</w:t>
            </w:r>
            <w:r>
              <w:rPr>
                <w:rFonts w:ascii="Times New Roman"/>
                <w:b w:val="false"/>
                <w:i w:val="false"/>
                <w:color w:val="000000"/>
                <w:sz w:val="20"/>
              </w:rPr>
              <w:t>-қа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см</w:t>
            </w:r>
            <w:r>
              <w:rPr>
                <w:rFonts w:ascii="Times New Roman"/>
                <w:b w:val="false"/>
                <w:i w:val="false"/>
                <w:color w:val="000000"/>
                <w:vertAlign w:val="superscript"/>
              </w:rPr>
              <w:t>3</w:t>
            </w:r>
            <w:r>
              <w:rPr>
                <w:rFonts w:ascii="Times New Roman"/>
                <w:b w:val="false"/>
                <w:i w:val="false"/>
                <w:color w:val="000000"/>
                <w:sz w:val="20"/>
              </w:rPr>
              <w:t>-тан 2 000 см</w:t>
            </w:r>
            <w:r>
              <w:rPr>
                <w:rFonts w:ascii="Times New Roman"/>
                <w:b w:val="false"/>
                <w:i w:val="false"/>
                <w:color w:val="000000"/>
                <w:vertAlign w:val="superscript"/>
              </w:rPr>
              <w:t>3</w:t>
            </w:r>
            <w:r>
              <w:rPr>
                <w:rFonts w:ascii="Times New Roman"/>
                <w:b w:val="false"/>
                <w:i w:val="false"/>
                <w:color w:val="000000"/>
                <w:sz w:val="20"/>
              </w:rPr>
              <w:t>-қа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 см</w:t>
            </w:r>
            <w:r>
              <w:rPr>
                <w:rFonts w:ascii="Times New Roman"/>
                <w:b w:val="false"/>
                <w:i w:val="false"/>
                <w:color w:val="000000"/>
                <w:vertAlign w:val="superscript"/>
              </w:rPr>
              <w:t>3</w:t>
            </w:r>
            <w:r>
              <w:rPr>
                <w:rFonts w:ascii="Times New Roman"/>
                <w:b w:val="false"/>
                <w:i w:val="false"/>
                <w:color w:val="000000"/>
                <w:sz w:val="20"/>
              </w:rPr>
              <w:t>-тан 3 000 см</w:t>
            </w:r>
            <w:r>
              <w:rPr>
                <w:rFonts w:ascii="Times New Roman"/>
                <w:b w:val="false"/>
                <w:i w:val="false"/>
                <w:color w:val="000000"/>
                <w:vertAlign w:val="superscript"/>
              </w:rPr>
              <w:t>3</w:t>
            </w:r>
            <w:r>
              <w:rPr>
                <w:rFonts w:ascii="Times New Roman"/>
                <w:b w:val="false"/>
                <w:i w:val="false"/>
                <w:color w:val="000000"/>
                <w:sz w:val="20"/>
              </w:rPr>
              <w:t>-қа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 см</w:t>
            </w:r>
            <w:r>
              <w:rPr>
                <w:rFonts w:ascii="Times New Roman"/>
                <w:b w:val="false"/>
                <w:i w:val="false"/>
                <w:color w:val="000000"/>
                <w:vertAlign w:val="superscript"/>
              </w:rPr>
              <w:t>3</w:t>
            </w:r>
            <w:r>
              <w:rPr>
                <w:rFonts w:ascii="Times New Roman"/>
                <w:b w:val="false"/>
                <w:i w:val="false"/>
                <w:color w:val="000000"/>
                <w:sz w:val="20"/>
              </w:rPr>
              <w:t>-тан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N1, N2, N3 санатының көлік құралдары, соның ішінде G санатының жүріп өту мүмкіндігі жоғары: жүк автомобильдері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салмағы: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тоннға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тоннадан 3,5 тоннға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тоннадан 5 тоннаға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тоннадан 8 тоннаға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тоннадан 12 тоннаға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тоннадан 20 тоннаға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тоннадан 50 тоннаға дейін, ершікті тартқыштардан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тоннадан 50 тоннаға дейінгі ершікті тартқыштар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М2, М3 санатының көлік құралдары, соның ішінде G санатының жүріп өту мүмкіндігі жоғары: автобустар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Буданды күштік қондырғысы бар көлік құралдарынан басқа, электр қозғалтқышы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жұмыс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см</w:t>
            </w:r>
            <w:r>
              <w:rPr>
                <w:rFonts w:ascii="Times New Roman"/>
                <w:b w:val="false"/>
                <w:i w:val="false"/>
                <w:color w:val="000000"/>
                <w:vertAlign w:val="superscript"/>
              </w:rPr>
              <w:t>3</w:t>
            </w:r>
            <w:r>
              <w:rPr>
                <w:rFonts w:ascii="Times New Roman"/>
                <w:b w:val="false"/>
                <w:i w:val="false"/>
                <w:color w:val="000000"/>
                <w:sz w:val="20"/>
              </w:rPr>
              <w:t>-қа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см</w:t>
            </w:r>
            <w:r>
              <w:rPr>
                <w:rFonts w:ascii="Times New Roman"/>
                <w:b w:val="false"/>
                <w:i w:val="false"/>
                <w:color w:val="000000"/>
                <w:vertAlign w:val="superscript"/>
              </w:rPr>
              <w:t>3</w:t>
            </w:r>
            <w:r>
              <w:rPr>
                <w:rFonts w:ascii="Times New Roman"/>
                <w:b w:val="false"/>
                <w:i w:val="false"/>
                <w:color w:val="000000"/>
                <w:sz w:val="20"/>
              </w:rPr>
              <w:t>-тан 5 000 см</w:t>
            </w:r>
            <w:r>
              <w:rPr>
                <w:rFonts w:ascii="Times New Roman"/>
                <w:b w:val="false"/>
                <w:i w:val="false"/>
                <w:color w:val="000000"/>
                <w:vertAlign w:val="superscript"/>
              </w:rPr>
              <w:t>3</w:t>
            </w:r>
            <w:r>
              <w:rPr>
                <w:rFonts w:ascii="Times New Roman"/>
                <w:b w:val="false"/>
                <w:i w:val="false"/>
                <w:color w:val="000000"/>
                <w:sz w:val="20"/>
              </w:rPr>
              <w:t>-қа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см</w:t>
            </w:r>
            <w:r>
              <w:rPr>
                <w:rFonts w:ascii="Times New Roman"/>
                <w:b w:val="false"/>
                <w:i w:val="false"/>
                <w:color w:val="000000"/>
                <w:vertAlign w:val="superscript"/>
              </w:rPr>
              <w:t>3</w:t>
            </w:r>
            <w:r>
              <w:rPr>
                <w:rFonts w:ascii="Times New Roman"/>
                <w:b w:val="false"/>
                <w:i w:val="false"/>
                <w:color w:val="000000"/>
                <w:sz w:val="20"/>
              </w:rPr>
              <w:t>-тан 10 000 см</w:t>
            </w:r>
            <w:r>
              <w:rPr>
                <w:rFonts w:ascii="Times New Roman"/>
                <w:b w:val="false"/>
                <w:i w:val="false"/>
                <w:color w:val="000000"/>
                <w:vertAlign w:val="superscript"/>
              </w:rPr>
              <w:t>3</w:t>
            </w:r>
            <w:r>
              <w:rPr>
                <w:rFonts w:ascii="Times New Roman"/>
                <w:b w:val="false"/>
                <w:i w:val="false"/>
                <w:color w:val="000000"/>
                <w:sz w:val="20"/>
              </w:rPr>
              <w:t>-қа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 см</w:t>
            </w:r>
            <w:r>
              <w:rPr>
                <w:rFonts w:ascii="Times New Roman"/>
                <w:b w:val="false"/>
                <w:i w:val="false"/>
                <w:color w:val="000000"/>
                <w:vertAlign w:val="superscript"/>
              </w:rPr>
              <w:t>3</w:t>
            </w:r>
            <w:r>
              <w:rPr>
                <w:rFonts w:ascii="Times New Roman"/>
                <w:b w:val="false"/>
                <w:i w:val="false"/>
                <w:color w:val="000000"/>
                <w:sz w:val="20"/>
              </w:rPr>
              <w:t xml:space="preserve">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