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6e20" w14:textId="d486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15 сәуірдегі № 193 бұйрығы. Қазақстан Республикасының Әділет министрлігінде 2019 жылғы 23 сәуірде № 18568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Әділет министрлігінің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17415 болып енгізілді, Қазақстан Республикасы нормативтік құқықтық актілердің эталондық бақылау банкінде 2018 жылғы 26 қыркүйекте жарияланды)</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"24. Өтінішхат өнертабысты қолдануға алғаш рұқсат алынған немесе патент беруге өтінім берілген күннен бастап, осы мерзімдердің қайсысы кешірек өтетініне қарай, алты ай өтпестен бұрын патенттің қолданылу кезеңінде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p>
    <w:bookmarkEnd w:id="11"/>
    <w:p>
      <w:pPr>
        <w:spacing w:after="0"/>
        <w:ind w:left="0"/>
        <w:jc w:val="both"/>
      </w:pPr>
      <w:r>
        <w:rPr>
          <w:rFonts w:ascii="Times New Roman"/>
          <w:b w:val="false"/>
          <w:i w:val="false"/>
          <w:color w:val="000000"/>
          <w:sz w:val="28"/>
        </w:rPr>
        <w:t xml:space="preserve">
      Егер бірінші рұқсат 2015 жылғы 7 сәуіріндегі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күшіне енуіне дейін берілген жағдайда өтінішхат патент қолданылатын мерзім ішінде, бірақ оның қолданылу мерзімі өткенге дейін екі айдан кешіктірілмей беріледі.".</w:t>
      </w:r>
    </w:p>
    <w:bookmarkStart w:name="z15" w:id="12"/>
    <w:p>
      <w:pPr>
        <w:spacing w:after="0"/>
        <w:ind w:left="0"/>
        <w:jc w:val="both"/>
      </w:pPr>
      <w:r>
        <w:rPr>
          <w:rFonts w:ascii="Times New Roman"/>
          <w:b w:val="false"/>
          <w:i w:val="false"/>
          <w:color w:val="000000"/>
          <w:sz w:val="28"/>
        </w:rPr>
        <w:t xml:space="preserve">
      2. "Апелляциялық кеңес туралы ережені бекіту туралы" Қазақстан Республикасы Әділет министрінің 2018 жылғы 28 тамыздағы № 1320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17328 болып енгізілді, Қазақстан Республикасы нормативтік құқықтық актілердің эталондық бақылау банкінде 2018 жылғы 10 қыркүйекте жарияланды):</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Апелляциялық кеңес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bookmarkStart w:name="z18" w:id="14"/>
    <w:p>
      <w:pPr>
        <w:spacing w:after="0"/>
        <w:ind w:left="0"/>
        <w:jc w:val="both"/>
      </w:pPr>
      <w:r>
        <w:rPr>
          <w:rFonts w:ascii="Times New Roman"/>
          <w:b w:val="false"/>
          <w:i w:val="false"/>
          <w:color w:val="000000"/>
          <w:sz w:val="28"/>
        </w:rPr>
        <w:t xml:space="preserve">
      3. "Апелляциялық кеңестің қарсылықтарды қарау қағидаларын бекіту туралы" Қазақстан Республикасы Әділет министрінің 2018 жылғы 28 тамыздағы № 1317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17324 болып енгізілді, Қазақстан Республикасы нормативтік құқықтық актілердің эталондық бақылау банкінде 2018 жылғы 10 қыркүйекте жарияланды):</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Апелляциялық кеңестің қарсылықтарды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"Бейнежазбаны техникалық фрагменттеу немесе оның форматын өзгерту жағдайларын қоспағанда, отырыстың бейнежазбасын тоқтата тұруға немесе түзетуге жол берілмейді.";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алынып тасталсын.</w:t>
      </w:r>
    </w:p>
    <w:bookmarkStart w:name="z24" w:id="17"/>
    <w:p>
      <w:pPr>
        <w:spacing w:after="0"/>
        <w:ind w:left="0"/>
        <w:jc w:val="both"/>
      </w:pPr>
      <w:r>
        <w:rPr>
          <w:rFonts w:ascii="Times New Roman"/>
          <w:b w:val="false"/>
          <w:i w:val="false"/>
          <w:color w:val="000000"/>
          <w:sz w:val="28"/>
        </w:rPr>
        <w:t xml:space="preserve">
      4.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17322 болып енгізілді, Қазақстан Республикасы нормативтік құқықтық актілердің эталондық бақылау банкінде 2018 жылғы 11 қыркүйекте жарияланды):</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"Тестілеуден шеттетілген кандидат келесі аттестаттауға жіберу туралы өтінішті қайта беру құқығынан айырылмайды.";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"Егер дұрыс жауаптардың саны ұсынылған сұрақтардың жалпы санының 70 % және одан жоғары құраса, кандидат тестiлеуден өттi деп саналады.";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"Хаттамаға комиссияның төрағасы және оның орынбысары қол қояды.".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