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69ee" w14:textId="75a6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11 сәуірдегі № 324 бұйрығы. Қазақстан Республикасының Әділет министрлігінде 2019 жылғы 16 сәуірде № 18538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"Ағымдағы шығындар" деген санатында:</w:t>
      </w:r>
    </w:p>
    <w:p>
      <w:pPr>
        <w:spacing w:after="0"/>
        <w:ind w:left="0"/>
        <w:jc w:val="both"/>
      </w:pPr>
      <w:r>
        <w:rPr>
          <w:rFonts w:ascii="Times New Roman"/>
          <w:b w:val="false"/>
          <w:i w:val="false"/>
          <w:color w:val="000000"/>
          <w:sz w:val="28"/>
        </w:rPr>
        <w:t>
      01 "Тауарлар мен қызметтерге шығатын шығыстар" деген сыныбында:</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Ұлттық экономика министрлігі әкімшісі болып табылатын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Қаржы министрлігі, Қазақстан Республикасы энергетика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Қазақстан Республикасы Денсаулық сақтау министрлігі, Қазақстан Республикасы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2001 жылғы 6 желтоқсандағы Заңына сәйкес Инвестициялық дауларды реттеу жөніндегі Халықаралық орталықтың шығыстарына ақы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