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f914" w14:textId="f16f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28 наурыздағы № 237 және Қазақстан Республикасы Индустрия және инфрақұрылымдық даму министрінің 2019 жылғы 29 наурыздағы № 162 бірлескен бұйрығы. Қазақстан Республикасының Әділет министрлігінде 2019 жылғы 29 наурызда № 18438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Республикасының Заңы </w:t>
      </w:r>
      <w:r>
        <w:rPr>
          <w:rFonts w:ascii="Times New Roman"/>
          <w:b w:val="false"/>
          <w:i w:val="false"/>
          <w:color w:val="000000"/>
          <w:sz w:val="28"/>
        </w:rPr>
        <w:t>6-3-бабының</w:t>
      </w:r>
      <w:r>
        <w:rPr>
          <w:rFonts w:ascii="Times New Roman"/>
          <w:b w:val="false"/>
          <w:i w:val="false"/>
          <w:color w:val="000000"/>
          <w:sz w:val="28"/>
        </w:rPr>
        <w:t xml:space="preserve"> 2)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реттеуге жатқызылатын өлшем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министрлігінде мемлекеттік тіркегеннен кейін күнтізбелік он күн ішінде оны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 және орыс тілдерінде жолдауды;</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Ішкі істер министрлігінің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бірлескен бұйрықты Қазақстан Республикасы Әділет министрлігінде мемлекеттік тіркегеннен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Ішкі істер министрінің орынбасарына жүктелсін.</w:t>
      </w:r>
    </w:p>
    <w:bookmarkEnd w:id="7"/>
    <w:bookmarkStart w:name="z9" w:id="8"/>
    <w:p>
      <w:pPr>
        <w:spacing w:after="0"/>
        <w:ind w:left="0"/>
        <w:jc w:val="both"/>
      </w:pPr>
      <w:r>
        <w:rPr>
          <w:rFonts w:ascii="Times New Roman"/>
          <w:b w:val="false"/>
          <w:i w:val="false"/>
          <w:color w:val="000000"/>
          <w:sz w:val="28"/>
        </w:rPr>
        <w:t>
      4. Осы бірлескен бұйрық 2019 жылғы 11 сәуірден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162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237 бірлескен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реттеуге жатқызылатын өлшем тізбесі</w:t>
      </w:r>
    </w:p>
    <w:bookmarkEnd w:id="9"/>
    <w:p>
      <w:pPr>
        <w:spacing w:after="0"/>
        <w:ind w:left="0"/>
        <w:jc w:val="both"/>
      </w:pPr>
      <w:r>
        <w:rPr>
          <w:rFonts w:ascii="Times New Roman"/>
          <w:b w:val="false"/>
          <w:i w:val="false"/>
          <w:color w:val="ff0000"/>
          <w:sz w:val="28"/>
        </w:rPr>
        <w:t xml:space="preserve">
      Ескерту. Тізбе жаңа редакцияда – ҚР Ішкі істер министрінің 16.04.2026 </w:t>
      </w:r>
      <w:r>
        <w:rPr>
          <w:rFonts w:ascii="Times New Roman"/>
          <w:b w:val="false"/>
          <w:i w:val="false"/>
          <w:color w:val="ff0000"/>
          <w:sz w:val="28"/>
        </w:rPr>
        <w:t>№ 276</w:t>
      </w:r>
      <w:r>
        <w:rPr>
          <w:rFonts w:ascii="Times New Roman"/>
          <w:b w:val="false"/>
          <w:i w:val="false"/>
          <w:color w:val="ff0000"/>
          <w:sz w:val="28"/>
        </w:rPr>
        <w:t xml:space="preserve"> және ҚР Сауда және интеграция министрінің 18.04.2026 № 170-НҚ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 және қолдану саласын көрсете отырып өлшемдердің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Өлшемдерге қойылатын метрологиялық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қателік немесе дәлдік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қозғалыс жылдамдығын (км/сағ) мобильді жылдамдық өлшегіштермен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250 км/сағ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км/сағ.</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 белгіленген қозғалыс жылдамдығынан асып кету;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қозғалыс жылдамдығын (км/сағ) стационарлық жылдамдық өлшегіштермен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250 км/сағ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км/сағ.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басқарудағы жиынтық люфтті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0°-тан 30°-қа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 (Нормативтік құқықтық актілерді мемлекеттік тіркеу тізілімінде № 33003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әйнек пен алдыңғы бүйірлік әйнектің жарық өткізгіштігін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0%-тен 70%-ке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протекторы суретінің қалдық биіктігін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150 мм-ге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газдардағы компоненттердің концентрациясын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көлемдік үлестің 0-ден 5%-не дейін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 0,03%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көлемдік 0-ден 16%-ке дейін СО2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 0,5%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- 0-ден 21%-ке дейін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 0,1%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млн-1-ден 2000% млн-1-ге дейін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 10 млн-1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қозғалысының орташа жылдамдығын (км/сағ) стационарлық жылдамдық өлшегіштермен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жылдамдықты есептеу кезінде ± 2 км/сағ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орташа жылдамдығынан асып кетуін тіркеу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аппараттық-бағдарламалық кешендердің бақыланатын учаскесін өлшеу (мемлекеттік тіркеу нөмірінің танудың шекті қашықтығы)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10-нан 100 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 Көлік құралдарын тоқтату немесе тұраққа қою қағидаларын бұзу;</w:t>
            </w:r>
          </w:p>
          <w:p>
            <w:pPr>
              <w:spacing w:after="20"/>
              <w:ind w:left="20"/>
              <w:jc w:val="both"/>
            </w:pPr>
            <w:r>
              <w:rPr>
                <w:rFonts w:ascii="Times New Roman"/>
                <w:b w:val="false"/>
                <w:i w:val="false"/>
                <w:color w:val="000000"/>
                <w:sz w:val="20"/>
              </w:rPr>
              <w:t>
- бағдаршамның тыйым салу сигналына өту;</w:t>
            </w:r>
          </w:p>
          <w:p>
            <w:pPr>
              <w:spacing w:after="20"/>
              <w:ind w:left="20"/>
              <w:jc w:val="both"/>
            </w:pPr>
            <w:r>
              <w:rPr>
                <w:rFonts w:ascii="Times New Roman"/>
                <w:b w:val="false"/>
                <w:i w:val="false"/>
                <w:color w:val="000000"/>
                <w:sz w:val="20"/>
              </w:rPr>
              <w:t>
- жол белгілерінде жазылған талаптарды сақтамау;</w:t>
            </w:r>
          </w:p>
          <w:p>
            <w:pPr>
              <w:spacing w:after="20"/>
              <w:ind w:left="20"/>
              <w:jc w:val="both"/>
            </w:pPr>
            <w:r>
              <w:rPr>
                <w:rFonts w:ascii="Times New Roman"/>
                <w:b w:val="false"/>
                <w:i w:val="false"/>
                <w:color w:val="000000"/>
                <w:sz w:val="20"/>
              </w:rPr>
              <w:t>
- жаяу жүргіншілерге немесе жол қозғалысының өзге де қатысушыларына қозғалыста артықшылық бермеу;</w:t>
            </w:r>
          </w:p>
          <w:p>
            <w:pPr>
              <w:spacing w:after="20"/>
              <w:ind w:left="20"/>
              <w:jc w:val="both"/>
            </w:pPr>
            <w:r>
              <w:rPr>
                <w:rFonts w:ascii="Times New Roman"/>
                <w:b w:val="false"/>
                <w:i w:val="false"/>
                <w:color w:val="000000"/>
                <w:sz w:val="20"/>
              </w:rPr>
              <w:t>
- маневр жасау қағидаларын бұзу.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Аппараттық-программалық кешендердің орналасу координаттарын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орнын тіркеу. Барлық ЖЖҚ бұзушылықтары үшін, аппараттық-бағдарламалық кешендердің барлық түрлері үшін міндетті өлшем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нүктелер бойынша көлік құралдарының габариттері мен стационарлық аппараттық-программалық кешендердің жол белгісі арасындағы қашықтықты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0-ден 5 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Жол белгісімен жазылған талаптарды сақтамаудың бұзушылығын тіркеу.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синхрондау қатесін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уақытын тіркеу. Барлық ЖЖҚ бұзушылықтары үшін, аппараттық-бағдарламалық кешендердің барлық түрлері үшін міндетті өлшем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аппараттық-бағдарламалық кешендердің бақыланатын учаскесін өлшеу (мемлекеттік тіркеу нөмірінің танудың шекті қашықтығы)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 көлiк құралдарын тоқтату немесе тұраққа қою қағидаларын бұзу;</w:t>
            </w:r>
          </w:p>
          <w:p>
            <w:pPr>
              <w:spacing w:after="20"/>
              <w:ind w:left="20"/>
              <w:jc w:val="both"/>
            </w:pPr>
            <w:r>
              <w:rPr>
                <w:rFonts w:ascii="Times New Roman"/>
                <w:b w:val="false"/>
                <w:i w:val="false"/>
                <w:color w:val="000000"/>
                <w:sz w:val="20"/>
              </w:rPr>
              <w:t>
- жол белгілерінде жазылған талаптарды сақтамау.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