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3b4c" w14:textId="5843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11 наурыздағы № 81 және Қазақстан Республикасы Индустрия және инфрақұрылымдық даму министрінің 2019 жылғы 18 наурыздағы № 143 бірлескен бұйрығы. Қазақстан Республикасының Әділет министрлігінде 2019 жылғы 28 наурызда № 18435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Заңы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29.03.2023 </w:t>
      </w:r>
      <w:r>
        <w:rPr>
          <w:rFonts w:ascii="Times New Roman"/>
          <w:b w:val="false"/>
          <w:i w:val="false"/>
          <w:color w:val="ff0000"/>
          <w:sz w:val="28"/>
        </w:rPr>
        <w:t>№ 121</w:t>
      </w:r>
      <w:r>
        <w:rPr>
          <w:rFonts w:ascii="Times New Roman"/>
          <w:b w:val="false"/>
          <w:i w:val="false"/>
          <w:color w:val="ff0000"/>
          <w:sz w:val="28"/>
        </w:rPr>
        <w:t xml:space="preserve"> және ҚР Премьер-Министрі орынбасарының - Сауда және интеграция министрінің м.а. 31.03.2023 № 129-НҚ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тізбелері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Стратегиялық жоспарлау және талдау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Энергетика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18 наурыздағы № 143 бірлескен</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Мемлекеттік реттеуге жатқызылатын өлшемдер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29.03.2023 </w:t>
      </w:r>
      <w:r>
        <w:rPr>
          <w:rFonts w:ascii="Times New Roman"/>
          <w:b w:val="false"/>
          <w:i w:val="false"/>
          <w:color w:val="ff0000"/>
          <w:sz w:val="28"/>
        </w:rPr>
        <w:t>№ 121</w:t>
      </w:r>
      <w:r>
        <w:rPr>
          <w:rFonts w:ascii="Times New Roman"/>
          <w:b w:val="false"/>
          <w:i w:val="false"/>
          <w:color w:val="ff0000"/>
          <w:sz w:val="28"/>
        </w:rPr>
        <w:t xml:space="preserve"> және ҚР Премьер-Министрі орынбасарының - Сауда және интеграция министрінің м.а. 31.03.2023 № 129-НҚ (жарияланған күнінен кейін күнтізбелік алпыс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ауытқуы немесе дәлдік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Мұнай және мұнай өнімдері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тасымалдау кезінде, автомобиль, теміржол, су көлігіне, резервуарларға ауыстырып тиеу кезінде мұнай/мұнай өнімдерінің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өлшеулердің тікелей және жанама әдістері,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өлшеулердің тікелей және жанама әдістері,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ағытылған цистерналарды таразыда өлшеу арқылы статикалық өлшеудің тікелей әдісі,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ағытылған цистерналарды таразыда өлшеу арқылы статикалық өлшеудің тікелей әдісі,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ағытылмаған цистерналар мен олардың құрамдарын таразыда өлшеу арқылы статикалық өлшеудің тікелей әдісі,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1000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1000 тонна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ағытылмаған цистерналар мен олардың құрамдарын таразыда өлшеу арқылы статикалық өлшеудің тікелей әдісі,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1000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1000 тонна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өлшеулердің жанама әдісі және гидростатикалық принципке негізделген жанама әдіс,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тонна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өлшеудің жанама әдісі және гидростатикалық принципке негізделген жанама әдіс,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тонна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операциялар кезінде авто -, автогаз құю станцияларындағы мұнай өнімдерінің көлемін өлшеу (жылжымалы үлгідегі автожанармай құю станцияларынан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w:t>
            </w:r>
          </w:p>
          <w:p>
            <w:pPr>
              <w:spacing w:after="20"/>
              <w:ind w:left="20"/>
              <w:jc w:val="both"/>
            </w:pPr>
            <w:r>
              <w:rPr>
                <w:rFonts w:ascii="Times New Roman"/>
                <w:b w:val="false"/>
                <w:i w:val="false"/>
                <w:color w:val="000000"/>
                <w:sz w:val="20"/>
              </w:rPr>
              <w:t>
"Мұнай және мұнай өнімдерінің массасы. Өлшеу әдістемелері (әдістері)"</w:t>
            </w:r>
          </w:p>
          <w:p>
            <w:pPr>
              <w:spacing w:after="20"/>
              <w:ind w:left="20"/>
              <w:jc w:val="both"/>
            </w:pPr>
            <w:r>
              <w:rPr>
                <w:rFonts w:ascii="Times New Roman"/>
                <w:b w:val="false"/>
                <w:i w:val="false"/>
                <w:color w:val="000000"/>
                <w:sz w:val="20"/>
              </w:rPr>
              <w:t>
МЕМСТ 9018 "Отын тарату колонкалары. Жалпы техникалық шарттар"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Газ саласында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текше метр сағат (20ºС және 0,101325 мега Паскаль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турбиналық, айналмалы газ есептегіштері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103-нен 105 текше метр сағатқа дейін (20ºС және 0,101325 мега Паскаль)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текше метр сағатқа дейін (20ºС және 0,101325 мега Паскаль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мега Паскальға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шығысын 105 текше метр сағатқа артық өлшеу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мега Паскальға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шығысын 105 текше метр сағатқа кем өлшеу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60 ºС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шығысын 105 текше метр сағатқа артық өлшеу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60 ºС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шығысын 105 текше метр сағатқа кем өлшеу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газ құрамын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бойынша орташа квадраттық ауытқу 2%-дан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шығысын анықтау үшін газ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текше метрге дейін (20ºС және 0,101325 мега Паскаль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Контрагент-кәсіпорындар арасындағы есеп айырысулар кезінде газ мөлшерін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операциялар кезінде газ -, автогаз құю станцияларындағы сұйытылған мұнай газының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±1% - дан аспауы тиіс. Қоршаған орта және отын температурасының минус 40 ºС-тан 60 ºС-қа дейінгі шегінде (20 ±1%) ºС-тан ерекшеленетін температурада қосымша салыстырмалы дәлсіздік ±1%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энергетикасы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электр энергиясының мөлшерін өлшеу: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килоВатт*сағат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Жақшада көрсетілген мән – жабдықты салу және жаңғырту кезінде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 аспаптары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беру желілерінде, кернеуі 500 киловольт және одан жоғары электр беру желілерінде, қуаты 50 мегаватт және одан жоғары генераторларда, қуаты 63 мегавольт ампер және одан жоғары трансформаторларда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 220 киловольт электр беру желілерінде, қуаты 50 мегаватқа дейінгі генераторларда, қуаты 10-63 мегавольт ампер трансформаторларда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 6 киловольт электр беру желілерінде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төмен электр беру желілерінде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 қосуға арналған ток және кернеу трансформаторлары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электр беру желілерінде 500 киловольт жоғары кернеуі электр беру желілерінде, қуаты 50 мегаватт және одан жоғары генераторларда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киловольт және одан төмен электр беру желілері, қуаты 50 мегаватт дейінгі генераторларда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электр энергиясының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 аспаптары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беру желілерінде, кернеуі 6 киловольт және одан жоғары электр беру желілерінде, қуаты 50 мегаватт және одан жоғары генераторларда, қуаты 63 мегавольт ампер және одан жоғары трансформаторларда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киловатт*сағ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төмен электр беру желілерінде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 қосуға арналған ток және кернеу трансформаторлары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электр беру желілерінде, кернеуі 500 киловольт және одан жоғары электр беру желілерінде, қуаты 50 мегаватт және одан жоғары генераторларда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киловольт және одан төмен электр беру желілерінде, қуаты 50 мегаватқа дейінгі генераторларда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