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1f42" w14:textId="66f1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 ауыстырылатын (тасымалданатын) объектілердің және биологиялық материалдың сынамаларын алу қағидаларын бекіту туралы" Қазақстан Республикасы Ауыл шаруашылығы министрінің 2015 жылғы 30 сәуірдегі № 7-1/393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13 ақпандағы № 64 бұйрығы. Қазақстан Республикасының Әділет министрлігінде 2019 жылғы 15 ақпанда № 18317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"Орны ауыстырылатын (тасымалданатын) объектілердің және биологиялық материалдың сынамаларын алу қағидаларын бекіту туралы" Қазақстан Республикасы Ауыл шаруашылығы министрінің 2015 жылғы 30 сәуірдегі № 7-1/393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11618 болып тіркелген, 2015 жылғы 23 шілдеде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Орны ауыстырылатын (тасымалданатын) объектілердің және биологиялық материалдың сынамаларын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17-1)-тармақшамен толықтырылсын:</w:t>
      </w:r>
    </w:p>
    <w:bookmarkStart w:name="z5" w:id="3"/>
    <w:p>
      <w:pPr>
        <w:spacing w:after="0"/>
        <w:ind w:left="0"/>
        <w:jc w:val="both"/>
      </w:pPr>
      <w:r>
        <w:rPr>
          <w:rFonts w:ascii="Times New Roman"/>
          <w:b w:val="false"/>
          <w:i w:val="false"/>
          <w:color w:val="000000"/>
          <w:sz w:val="28"/>
        </w:rPr>
        <w:t>
      "17-1) Қан алу жүйесі – тасымалдауға арналған және элементтерді қан алу үшін қайта пайдалануды болдырмайтын, саңылаусыз жабылған шыны түтікшеге (котейнер) тікелей қан алуды жүргізуге мүмкіндік беретін, өзара байланысқан бір реттік элементтердің қосындысы.";</w:t>
      </w:r>
    </w:p>
    <w:bookmarkEnd w:id="3"/>
    <w:bookmarkStart w:name="z6" w:id="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"5) шыны бойынша қарындаш (маркер), пастер пипеткалары, шыны түтіктер, қан алу жүйесі, саптыаяқтар, стақандар, нормативтік құжаттарға сәйкес келетін диаметрі мен ұзындығы әртүрлі металл және пластмасса құбырлар;";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"11. Зерттеу үшін іріктелген сұйық сынамаларды құрғақ таза шыны немесе полиэтиленді ыдысқа немесе біржолғы түтіктерге, сусымалы сынамаларды тығыз полиэтиленді қаптарға орналастырады.</w:t>
      </w:r>
    </w:p>
    <w:bookmarkEnd w:id="6"/>
    <w:bookmarkStart w:name="z10" w:id="7"/>
    <w:p>
      <w:pPr>
        <w:spacing w:after="0"/>
        <w:ind w:left="0"/>
        <w:jc w:val="both"/>
      </w:pPr>
      <w:r>
        <w:rPr>
          <w:rFonts w:ascii="Times New Roman"/>
          <w:b w:val="false"/>
          <w:i w:val="false"/>
          <w:color w:val="000000"/>
          <w:sz w:val="28"/>
        </w:rPr>
        <w:t>
      Шыны, полиэтиленді ыдыстарды, түтіктерді, қаптарды пергамент қағазға орайды, жіппен байлайды және мөрлейді.</w:t>
      </w:r>
    </w:p>
    <w:bookmarkEnd w:id="7"/>
    <w:bookmarkStart w:name="z11" w:id="8"/>
    <w:p>
      <w:pPr>
        <w:spacing w:after="0"/>
        <w:ind w:left="0"/>
        <w:jc w:val="both"/>
      </w:pPr>
      <w:r>
        <w:rPr>
          <w:rFonts w:ascii="Times New Roman"/>
          <w:b w:val="false"/>
          <w:i w:val="false"/>
          <w:color w:val="000000"/>
          <w:sz w:val="28"/>
        </w:rPr>
        <w:t>
      Сынамалардың оралған үлгілерін арнайы лайықталған жәшікке орналастырады, жөнелтілетін өнімнің тұтастығын қамтамасыз ету үшін қағазбен жабады.";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"24. Сұйық биологиялық материалды (қан, қан сарысуы, лимфа, жұлын сұйықтығы, өт және басқалар) диагностикалық зерттеулердің барлық кешенін жүргізуге мүмкіндік беретін көлемде бір рет қолданылатын инелер арқылы бір реттік шыны түтіктерге, қан алу жүйесіне пункция арқылы жинайды. Түтіктерді жануарлардың бірдейлендіру нөмірлерін жазып, таңбалайды.</w:t>
      </w:r>
    </w:p>
    <w:bookmarkEnd w:id="9"/>
    <w:bookmarkStart w:name="z15" w:id="10"/>
    <w:p>
      <w:pPr>
        <w:spacing w:after="0"/>
        <w:ind w:left="0"/>
        <w:jc w:val="both"/>
      </w:pPr>
      <w:r>
        <w:rPr>
          <w:rFonts w:ascii="Times New Roman"/>
          <w:b w:val="false"/>
          <w:i w:val="false"/>
          <w:color w:val="000000"/>
          <w:sz w:val="28"/>
        </w:rPr>
        <w:t>
      Бактериологиялық және вирусологиялық зерттеулер үшін сұйық патологиялық материалды (қан, ірің, зәр, өт, экссудаттар) мыналар арқылы жібереді:</w:t>
      </w:r>
    </w:p>
    <w:bookmarkEnd w:id="10"/>
    <w:bookmarkStart w:name="z16" w:id="11"/>
    <w:p>
      <w:pPr>
        <w:spacing w:after="0"/>
        <w:ind w:left="0"/>
        <w:jc w:val="both"/>
      </w:pPr>
      <w:r>
        <w:rPr>
          <w:rFonts w:ascii="Times New Roman"/>
          <w:b w:val="false"/>
          <w:i w:val="false"/>
          <w:color w:val="000000"/>
          <w:sz w:val="28"/>
        </w:rPr>
        <w:t>
      1) дәнекерленген пастер пипеткаларында, материалды алу алдында пипетканың екі шетін фламбирлейді, ал жіңішке шетін тік бұрыш етіп иеді, сындырады және күйдірілген жерден ағзаға терең енгізеді, материалды сорып алғаннан кейін пипетканың қызып кетуіне жол бермей, оны екі шетінен дәнекерлейді, кейін әр пипетканы мақтаға орайды және түтікке орналастырады;</w:t>
      </w:r>
    </w:p>
    <w:bookmarkEnd w:id="11"/>
    <w:bookmarkStart w:name="z17" w:id="12"/>
    <w:p>
      <w:pPr>
        <w:spacing w:after="0"/>
        <w:ind w:left="0"/>
        <w:jc w:val="both"/>
      </w:pPr>
      <w:r>
        <w:rPr>
          <w:rFonts w:ascii="Times New Roman"/>
          <w:b w:val="false"/>
          <w:i w:val="false"/>
          <w:color w:val="000000"/>
          <w:sz w:val="28"/>
        </w:rPr>
        <w:t>
      2) инесі бар қайнатылған шприцтің көмегімен жиналған резеңке тығынмен нығыздап жабылған стерильденген түтікте.".</w:t>
      </w:r>
    </w:p>
    <w:bookmarkEnd w:id="12"/>
    <w:bookmarkStart w:name="z18" w:id="1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3"/>
    <w:bookmarkStart w:name="z19"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0" w:id="15"/>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5"/>
    <w:bookmarkStart w:name="z21" w:id="16"/>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16"/>
    <w:bookmarkStart w:name="z22" w:id="1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17"/>
    <w:bookmarkStart w:name="z23" w:id="18"/>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8"/>
    <w:bookmarkStart w:name="z24"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9"/>
    <w:bookmarkStart w:name="z25" w:id="20"/>
    <w:p>
      <w:pPr>
        <w:spacing w:after="0"/>
        <w:ind w:left="0"/>
        <w:jc w:val="both"/>
      </w:pPr>
      <w:r>
        <w:rPr>
          <w:rFonts w:ascii="Times New Roman"/>
          <w:b w:val="false"/>
          <w:i w:val="false"/>
          <w:color w:val="000000"/>
          <w:sz w:val="28"/>
        </w:rPr>
        <w:t>
      4. Осы бұйрық алғашқы ресми жарияланған күнiнен кейін күнтiзбелiк 10 (он) күн өткен соң қолданысқа енгiзiледi.</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