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37fb8b" w14:textId="c37fb8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Ақпараттық қауіпсіздікті қамтамасыз ету бөлігінде ақпараттандыру саласындағы тәуекел дәрежесін бағалау өлшемшарттарын және тексеру парақтарын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Қазақстан Республикасы Қорғаныс және аэроғарыш өнеркәсібі министрінің 2019 жылғы 29 қаңтардағы № 13/НҚ және Қазақстан Республикасы Ұлттық экономика министрінің 2019 жылғы 29 қаңтардағы № 12 бірлескен бұйрығы. Қазақстан Республикасының Әділет министрлігінде 2019 жылғы 6 ақпанда № 18269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2015 жылғы 29 қазандағы Кәсіпкерлік кодексі 141-бабының </w:t>
      </w:r>
      <w:r>
        <w:rPr>
          <w:rFonts w:ascii="Times New Roman"/>
          <w:b w:val="false"/>
          <w:i w:val="false"/>
          <w:color w:val="000000"/>
          <w:sz w:val="28"/>
        </w:rPr>
        <w:t>3-тармағына</w:t>
      </w:r>
      <w:r>
        <w:rPr>
          <w:rFonts w:ascii="Times New Roman"/>
          <w:b w:val="false"/>
          <w:i w:val="false"/>
          <w:color w:val="000000"/>
          <w:sz w:val="28"/>
        </w:rPr>
        <w:t xml:space="preserve"> және 143-бабының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БҰЙЫРАМЫЗ:</w:t>
      </w:r>
    </w:p>
    <w:bookmarkEnd w:id="0"/>
    <w:bookmarkStart w:name="z2" w:id="1"/>
    <w:p>
      <w:pPr>
        <w:spacing w:after="0"/>
        <w:ind w:left="0"/>
        <w:jc w:val="both"/>
      </w:pPr>
      <w:r>
        <w:rPr>
          <w:rFonts w:ascii="Times New Roman"/>
          <w:b w:val="false"/>
          <w:i w:val="false"/>
          <w:color w:val="000000"/>
          <w:sz w:val="28"/>
        </w:rPr>
        <w:t>
      1. Мыналар:</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Цифрлық даму, инновациялар және аэроғарыш өнеркәсібі министрінің 20.01.2023 </w:t>
      </w:r>
      <w:r>
        <w:rPr>
          <w:rFonts w:ascii="Times New Roman"/>
          <w:b w:val="false"/>
          <w:i w:val="false"/>
          <w:color w:val="000000"/>
          <w:sz w:val="28"/>
        </w:rPr>
        <w:t>№ 21/НҚ</w:t>
      </w:r>
      <w:r>
        <w:rPr>
          <w:rFonts w:ascii="Times New Roman"/>
          <w:b w:val="false"/>
          <w:i w:val="false"/>
          <w:color w:val="ff0000"/>
          <w:sz w:val="28"/>
        </w:rPr>
        <w:t xml:space="preserve"> және ҚР Ұлттық экономика министрінің 23.01.2023 № 8 (01.01.2023 бастап қолданысқа енгізіледі) бірлескен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Цифрлық даму, инновациялар және аэроғарыш өнеркәсібі министрінің 20.01.2023 </w:t>
      </w:r>
      <w:r>
        <w:rPr>
          <w:rFonts w:ascii="Times New Roman"/>
          <w:b w:val="false"/>
          <w:i w:val="false"/>
          <w:color w:val="000000"/>
          <w:sz w:val="28"/>
        </w:rPr>
        <w:t>№ 21/НҚ</w:t>
      </w:r>
      <w:r>
        <w:rPr>
          <w:rFonts w:ascii="Times New Roman"/>
          <w:b w:val="false"/>
          <w:i w:val="false"/>
          <w:color w:val="ff0000"/>
          <w:sz w:val="28"/>
        </w:rPr>
        <w:t xml:space="preserve"> және ҚР Ұлттық экономика министрінің 23.01.2023 № 8 (01.01.2023 бастап қолданысқа енгізіледі) бірлескен бұйрығымен.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xml:space="preserve">
      3) Киберқауіпсіздік бөлігінде цифрландыру саласындағы тәуекел дәрежесін бағалау өлшемшарттары, осы бірлескен бұйрыққа </w:t>
      </w:r>
      <w:r>
        <w:rPr>
          <w:rFonts w:ascii="Times New Roman"/>
          <w:b w:val="false"/>
          <w:i w:val="false"/>
          <w:color w:val="000000"/>
          <w:sz w:val="28"/>
        </w:rPr>
        <w:t>3-қосымшаға</w:t>
      </w:r>
      <w:r>
        <w:rPr>
          <w:rFonts w:ascii="Times New Roman"/>
          <w:b w:val="false"/>
          <w:i w:val="false"/>
          <w:color w:val="000000"/>
          <w:sz w:val="28"/>
        </w:rPr>
        <w:t xml:space="preserve"> сәйкес;</w:t>
      </w:r>
    </w:p>
    <w:bookmarkEnd w:id="2"/>
    <w:bookmarkStart w:name="z61" w:id="3"/>
    <w:p>
      <w:pPr>
        <w:spacing w:after="0"/>
        <w:ind w:left="0"/>
        <w:jc w:val="both"/>
      </w:pPr>
      <w:r>
        <w:rPr>
          <w:rFonts w:ascii="Times New Roman"/>
          <w:b w:val="false"/>
          <w:i w:val="false"/>
          <w:color w:val="000000"/>
          <w:sz w:val="28"/>
        </w:rPr>
        <w:t xml:space="preserve">
      4) мемлекеттік заңды тұлғаларға, квазимемлекеттік сектор субъектілеріне, мемлекеттік органдардың цифрлық жүйелерімен интеграцияланатын немесе мемлекеттік цифрлық ресурстарды қалыптастыруға арналған мемлекеттік емес цифрлық жүйелердің иелері мен иеленушілеріне, киберқауіпсіздікті қамтамасыз ету орталықтарына, сондай-ақ аса маңызды цифрлық объектілерінің иелері мен иеленушілеріне қатысты киберқауіпсіздік бөлігінде ақпараттандыру саласындағы тексеру парағы, осы бірлескен бұйрыққа </w:t>
      </w:r>
      <w:r>
        <w:rPr>
          <w:rFonts w:ascii="Times New Roman"/>
          <w:b w:val="false"/>
          <w:i w:val="false"/>
          <w:color w:val="000000"/>
          <w:sz w:val="28"/>
        </w:rPr>
        <w:t>4-қосымшаға</w:t>
      </w:r>
      <w:r>
        <w:rPr>
          <w:rFonts w:ascii="Times New Roman"/>
          <w:b w:val="false"/>
          <w:i w:val="false"/>
          <w:color w:val="000000"/>
          <w:sz w:val="28"/>
        </w:rPr>
        <w:t xml:space="preserve"> сәйкес.</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Жасанды интеллект және цифрлық даму министрінің м.а. 10.09.2026 </w:t>
      </w:r>
      <w:r>
        <w:rPr>
          <w:rFonts w:ascii="Times New Roman"/>
          <w:b w:val="false"/>
          <w:i w:val="false"/>
          <w:color w:val="ff0000"/>
          <w:sz w:val="28"/>
        </w:rPr>
        <w:t>№ 550/НҚ</w:t>
      </w:r>
      <w:r>
        <w:rPr>
          <w:rFonts w:ascii="Times New Roman"/>
          <w:b w:val="false"/>
          <w:i w:val="false"/>
          <w:color w:val="ff0000"/>
          <w:sz w:val="28"/>
        </w:rPr>
        <w:t xml:space="preserve"> және ҚР Премьер-Министрінің орынбасары – Ұлттық экономика министрінің 11.09.2026 № 145 (алғаш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6" w:id="4"/>
    <w:p>
      <w:pPr>
        <w:spacing w:after="0"/>
        <w:ind w:left="0"/>
        <w:jc w:val="both"/>
      </w:pPr>
      <w:r>
        <w:rPr>
          <w:rFonts w:ascii="Times New Roman"/>
          <w:b w:val="false"/>
          <w:i w:val="false"/>
          <w:color w:val="000000"/>
          <w:sz w:val="28"/>
        </w:rPr>
        <w:t>
      2. Қазақстан Республикасы Қорғаныс және аэроғарыш өнеркәсібі министрлігінің Ақпараттық қауіпсіздік комитеті Қазақстан Республикасының заңнамасында белгіленген тәртіппен:</w:t>
      </w:r>
    </w:p>
    <w:bookmarkEnd w:id="4"/>
    <w:bookmarkStart w:name="z7" w:id="5"/>
    <w:p>
      <w:pPr>
        <w:spacing w:after="0"/>
        <w:ind w:left="0"/>
        <w:jc w:val="both"/>
      </w:pPr>
      <w:r>
        <w:rPr>
          <w:rFonts w:ascii="Times New Roman"/>
          <w:b w:val="false"/>
          <w:i w:val="false"/>
          <w:color w:val="000000"/>
          <w:sz w:val="28"/>
        </w:rPr>
        <w:t>
      1) осы бірлескен бұйрықты Қазақстан Республикасының Әділет министрлігінде мемлекеттік тіркеуді;</w:t>
      </w:r>
    </w:p>
    <w:bookmarkEnd w:id="5"/>
    <w:bookmarkStart w:name="z8" w:id="6"/>
    <w:p>
      <w:pPr>
        <w:spacing w:after="0"/>
        <w:ind w:left="0"/>
        <w:jc w:val="both"/>
      </w:pPr>
      <w:r>
        <w:rPr>
          <w:rFonts w:ascii="Times New Roman"/>
          <w:b w:val="false"/>
          <w:i w:val="false"/>
          <w:color w:val="000000"/>
          <w:sz w:val="28"/>
        </w:rPr>
        <w:t>
      2) осы бірлескен бұйрық мемлекеттік тіркелген күннен бастап күнтізбелік он күн ішінде оны қазақ және орыс тілдерінде ресми жариялау және Қазақстан Республикасы нормативтік құқықтық актілерінің эталондық бақылау банкінде орналастыру үшін "Республикалық құқықтық ақпарат орталығы" шаруашылық жүргізу құқығындағы республикалық мемлекеттік кәсіпорнына жіберуді;</w:t>
      </w:r>
    </w:p>
    <w:bookmarkEnd w:id="6"/>
    <w:bookmarkStart w:name="z9" w:id="7"/>
    <w:p>
      <w:pPr>
        <w:spacing w:after="0"/>
        <w:ind w:left="0"/>
        <w:jc w:val="both"/>
      </w:pPr>
      <w:r>
        <w:rPr>
          <w:rFonts w:ascii="Times New Roman"/>
          <w:b w:val="false"/>
          <w:i w:val="false"/>
          <w:color w:val="000000"/>
          <w:sz w:val="28"/>
        </w:rPr>
        <w:t>
      3) осы бірлескен бұйрықтың көшірмесін Қазақстан Республикасы Қорғаныс және аэроғарыш өнеркәсібі министрлігінің интернет-ресурсында орналастыруды қамтамасыз етсін.</w:t>
      </w:r>
    </w:p>
    <w:bookmarkEnd w:id="7"/>
    <w:bookmarkStart w:name="z10" w:id="8"/>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Республикасының Қорғаныс және аэроғарыш өнеркәсібі вице-министріне жүктелсін.</w:t>
      </w:r>
    </w:p>
    <w:bookmarkEnd w:id="8"/>
    <w:bookmarkStart w:name="z11" w:id="9"/>
    <w:p>
      <w:pPr>
        <w:spacing w:after="0"/>
        <w:ind w:left="0"/>
        <w:jc w:val="both"/>
      </w:pPr>
      <w:r>
        <w:rPr>
          <w:rFonts w:ascii="Times New Roman"/>
          <w:b w:val="false"/>
          <w:i w:val="false"/>
          <w:color w:val="000000"/>
          <w:sz w:val="28"/>
        </w:rPr>
        <w:t>
      4. Осы бірлескен бұйрық алғаш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Қазақстан Республикасының </w:t>
            </w:r>
          </w:p>
          <w:p>
            <w:pPr>
              <w:spacing w:after="20"/>
              <w:ind w:left="20"/>
              <w:jc w:val="both"/>
            </w:pPr>
            <w:r>
              <w:rPr>
                <w:rFonts w:ascii="Times New Roman"/>
                <w:b w:val="false"/>
                <w:i/>
                <w:color w:val="000000"/>
                <w:sz w:val="20"/>
              </w:rPr>
              <w:t xml:space="preserve">Қорғаныс және аэроғарыш </w:t>
            </w:r>
          </w:p>
          <w:p>
            <w:pPr>
              <w:spacing w:after="20"/>
              <w:ind w:left="20"/>
              <w:jc w:val="both"/>
            </w:pPr>
            <w:r>
              <w:rPr>
                <w:rFonts w:ascii="Times New Roman"/>
                <w:b w:val="false"/>
                <w:i/>
                <w:color w:val="000000"/>
                <w:sz w:val="20"/>
              </w:rPr>
              <w:t>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Жұмағалиев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Сүлейменов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прокуратурасының</w:t>
      </w:r>
    </w:p>
    <w:p>
      <w:pPr>
        <w:spacing w:after="0"/>
        <w:ind w:left="0"/>
        <w:jc w:val="both"/>
      </w:pPr>
      <w:r>
        <w:rPr>
          <w:rFonts w:ascii="Times New Roman"/>
          <w:b w:val="false"/>
          <w:i w:val="false"/>
          <w:color w:val="000000"/>
          <w:sz w:val="28"/>
        </w:rPr>
        <w:t>
      Құқықтық статистика және</w:t>
      </w:r>
    </w:p>
    <w:p>
      <w:pPr>
        <w:spacing w:after="0"/>
        <w:ind w:left="0"/>
        <w:jc w:val="both"/>
      </w:pPr>
      <w:r>
        <w:rPr>
          <w:rFonts w:ascii="Times New Roman"/>
          <w:b w:val="false"/>
          <w:i w:val="false"/>
          <w:color w:val="000000"/>
          <w:sz w:val="28"/>
        </w:rPr>
        <w:t>
      арнайы есепке алу жөніндегі</w:t>
      </w:r>
    </w:p>
    <w:p>
      <w:pPr>
        <w:spacing w:after="0"/>
        <w:ind w:left="0"/>
        <w:jc w:val="both"/>
      </w:pPr>
      <w:r>
        <w:rPr>
          <w:rFonts w:ascii="Times New Roman"/>
          <w:b w:val="false"/>
          <w:i w:val="false"/>
          <w:color w:val="000000"/>
          <w:sz w:val="28"/>
        </w:rPr>
        <w:t>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Қорғаныс және аэроғарыш </w:t>
            </w:r>
            <w:r>
              <w:br/>
            </w:r>
            <w:r>
              <w:rPr>
                <w:rFonts w:ascii="Times New Roman"/>
                <w:b w:val="false"/>
                <w:i w:val="false"/>
                <w:color w:val="000000"/>
                <w:sz w:val="20"/>
              </w:rPr>
              <w:t>өнеркәсібі министрінің</w:t>
            </w:r>
            <w:r>
              <w:br/>
            </w:r>
            <w:r>
              <w:rPr>
                <w:rFonts w:ascii="Times New Roman"/>
                <w:b w:val="false"/>
                <w:i w:val="false"/>
                <w:color w:val="000000"/>
                <w:sz w:val="20"/>
              </w:rPr>
              <w:t>2019 жылғы 29 қаңтардағы</w:t>
            </w:r>
            <w:r>
              <w:br/>
            </w:r>
            <w:r>
              <w:rPr>
                <w:rFonts w:ascii="Times New Roman"/>
                <w:b w:val="false"/>
                <w:i w:val="false"/>
                <w:color w:val="000000"/>
                <w:sz w:val="20"/>
              </w:rPr>
              <w:t>№ 13/НҚ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министрінің</w:t>
            </w:r>
            <w:r>
              <w:br/>
            </w:r>
            <w:r>
              <w:rPr>
                <w:rFonts w:ascii="Times New Roman"/>
                <w:b w:val="false"/>
                <w:i w:val="false"/>
                <w:color w:val="000000"/>
                <w:sz w:val="20"/>
              </w:rPr>
              <w:t>2019 жылғы 29 қаңтардағы</w:t>
            </w:r>
            <w:r>
              <w:br/>
            </w:r>
            <w:r>
              <w:rPr>
                <w:rFonts w:ascii="Times New Roman"/>
                <w:b w:val="false"/>
                <w:i w:val="false"/>
                <w:color w:val="000000"/>
                <w:sz w:val="20"/>
              </w:rPr>
              <w:t>№ 12 бірлескен бұйрығына</w:t>
            </w:r>
            <w:r>
              <w:br/>
            </w:r>
            <w:r>
              <w:rPr>
                <w:rFonts w:ascii="Times New Roman"/>
                <w:b w:val="false"/>
                <w:i w:val="false"/>
                <w:color w:val="000000"/>
                <w:sz w:val="20"/>
              </w:rPr>
              <w:t>1-қосымша</w:t>
            </w:r>
          </w:p>
        </w:tc>
      </w:tr>
    </w:tbl>
    <w:bookmarkStart w:name="z13" w:id="10"/>
    <w:p>
      <w:pPr>
        <w:spacing w:after="0"/>
        <w:ind w:left="0"/>
        <w:jc w:val="left"/>
      </w:pPr>
      <w:r>
        <w:rPr>
          <w:rFonts w:ascii="Times New Roman"/>
          <w:b/>
          <w:i w:val="false"/>
          <w:color w:val="000000"/>
        </w:rPr>
        <w:t xml:space="preserve"> Ақпараттың қауіпсіздікті қамтамасыз ету бөлігінде ақпараттандыру саласындағы тәуекел дәрежесін бағалау өлшемшарттары</w:t>
      </w:r>
    </w:p>
    <w:bookmarkEnd w:id="10"/>
    <w:p>
      <w:pPr>
        <w:spacing w:after="0"/>
        <w:ind w:left="0"/>
        <w:jc w:val="both"/>
      </w:pPr>
      <w:r>
        <w:rPr>
          <w:rFonts w:ascii="Times New Roman"/>
          <w:b w:val="false"/>
          <w:i w:val="false"/>
          <w:color w:val="ff0000"/>
          <w:sz w:val="28"/>
        </w:rPr>
        <w:t xml:space="preserve">
      Ескерту. 1-қосымша алып тасталды - ҚР Цифрлық даму, инновациялар және аэроғарыш өнеркәсібі министрінің 20.01.2023 </w:t>
      </w:r>
      <w:r>
        <w:rPr>
          <w:rFonts w:ascii="Times New Roman"/>
          <w:b w:val="false"/>
          <w:i w:val="false"/>
          <w:color w:val="ff0000"/>
          <w:sz w:val="28"/>
        </w:rPr>
        <w:t>№ 21/НҚ</w:t>
      </w:r>
      <w:r>
        <w:rPr>
          <w:rFonts w:ascii="Times New Roman"/>
          <w:b w:val="false"/>
          <w:i w:val="false"/>
          <w:color w:val="ff0000"/>
          <w:sz w:val="28"/>
        </w:rPr>
        <w:t xml:space="preserve"> және ҚР Ұлттық экономика министрінің 23.01.2023 № 8 (01.01.2023 бастап қолданысқа енгізіледі)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Қорғаныс және аэроғарыш </w:t>
            </w:r>
            <w:r>
              <w:br/>
            </w:r>
            <w:r>
              <w:rPr>
                <w:rFonts w:ascii="Times New Roman"/>
                <w:b w:val="false"/>
                <w:i w:val="false"/>
                <w:color w:val="000000"/>
                <w:sz w:val="20"/>
              </w:rPr>
              <w:t>өнеркәсібі министрінің</w:t>
            </w:r>
            <w:r>
              <w:br/>
            </w:r>
            <w:r>
              <w:rPr>
                <w:rFonts w:ascii="Times New Roman"/>
                <w:b w:val="false"/>
                <w:i w:val="false"/>
                <w:color w:val="000000"/>
                <w:sz w:val="20"/>
              </w:rPr>
              <w:t>2019 жылғы 29 қаңтардағы</w:t>
            </w:r>
            <w:r>
              <w:br/>
            </w:r>
            <w:r>
              <w:rPr>
                <w:rFonts w:ascii="Times New Roman"/>
                <w:b w:val="false"/>
                <w:i w:val="false"/>
                <w:color w:val="000000"/>
                <w:sz w:val="20"/>
              </w:rPr>
              <w:t>№ 13/НҚ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29 қаңтардағы</w:t>
            </w:r>
            <w:r>
              <w:br/>
            </w:r>
            <w:r>
              <w:rPr>
                <w:rFonts w:ascii="Times New Roman"/>
                <w:b w:val="false"/>
                <w:i w:val="false"/>
                <w:color w:val="000000"/>
                <w:sz w:val="20"/>
              </w:rPr>
              <w:t>№ 12 бірлескен бұйрығына</w:t>
            </w:r>
            <w:r>
              <w:br/>
            </w:r>
            <w:r>
              <w:rPr>
                <w:rFonts w:ascii="Times New Roman"/>
                <w:b w:val="false"/>
                <w:i w:val="false"/>
                <w:color w:val="000000"/>
                <w:sz w:val="20"/>
              </w:rPr>
              <w:t>2-қосымша</w:t>
            </w:r>
          </w:p>
        </w:tc>
      </w:tr>
    </w:tbl>
    <w:bookmarkStart w:name="z58" w:id="11"/>
    <w:p>
      <w:pPr>
        <w:spacing w:after="0"/>
        <w:ind w:left="0"/>
        <w:jc w:val="left"/>
      </w:pPr>
      <w:r>
        <w:rPr>
          <w:rFonts w:ascii="Times New Roman"/>
          <w:b/>
          <w:i w:val="false"/>
          <w:color w:val="000000"/>
        </w:rPr>
        <w:t xml:space="preserve"> Мемлекеттік және жергілікті атқарушы органдарға қатысты ақпараттық қауіпсіздікті қамтамасыз ету бөлігінде ақпараттандыру саласындағы тексеру</w:t>
      </w:r>
    </w:p>
    <w:bookmarkEnd w:id="11"/>
    <w:p>
      <w:pPr>
        <w:spacing w:after="0"/>
        <w:ind w:left="0"/>
        <w:jc w:val="both"/>
      </w:pPr>
      <w:r>
        <w:rPr>
          <w:rFonts w:ascii="Times New Roman"/>
          <w:b w:val="false"/>
          <w:i w:val="false"/>
          <w:color w:val="ff0000"/>
          <w:sz w:val="28"/>
        </w:rPr>
        <w:t xml:space="preserve">
      Ескерту. 2-қосымша алып тасталды - ҚР Цифрлық даму, инновациялар және аэроғарыш өнеркәсібі министрінің 20.01.2023 </w:t>
      </w:r>
      <w:r>
        <w:rPr>
          <w:rFonts w:ascii="Times New Roman"/>
          <w:b w:val="false"/>
          <w:i w:val="false"/>
          <w:color w:val="ff0000"/>
          <w:sz w:val="28"/>
        </w:rPr>
        <w:t>№ 21/НҚ</w:t>
      </w:r>
      <w:r>
        <w:rPr>
          <w:rFonts w:ascii="Times New Roman"/>
          <w:b w:val="false"/>
          <w:i w:val="false"/>
          <w:color w:val="ff0000"/>
          <w:sz w:val="28"/>
        </w:rPr>
        <w:t xml:space="preserve"> және ҚР Ұлттық экономика министрінің 23.01.2023 № 8 (01.01.2023 бастап қолданысқа енгізіледі)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Қорғаныс 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2019 жылғы 29 қаңтардағы</w:t>
            </w:r>
            <w:r>
              <w:br/>
            </w:r>
            <w:r>
              <w:rPr>
                <w:rFonts w:ascii="Times New Roman"/>
                <w:b w:val="false"/>
                <w:i w:val="false"/>
                <w:color w:val="000000"/>
                <w:sz w:val="20"/>
              </w:rPr>
              <w:t>№13/НҚ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29 қаңтардағы</w:t>
            </w:r>
            <w:r>
              <w:br/>
            </w:r>
            <w:r>
              <w:rPr>
                <w:rFonts w:ascii="Times New Roman"/>
                <w:b w:val="false"/>
                <w:i w:val="false"/>
                <w:color w:val="000000"/>
                <w:sz w:val="20"/>
              </w:rPr>
              <w:t>№ 12 бірлескен бұйрығына</w:t>
            </w:r>
            <w:r>
              <w:br/>
            </w:r>
            <w:r>
              <w:rPr>
                <w:rFonts w:ascii="Times New Roman"/>
                <w:b w:val="false"/>
                <w:i w:val="false"/>
                <w:color w:val="000000"/>
                <w:sz w:val="20"/>
              </w:rPr>
              <w:t>3-қосымша</w:t>
            </w:r>
          </w:p>
        </w:tc>
      </w:tr>
    </w:tbl>
    <w:bookmarkStart w:name="z60" w:id="12"/>
    <w:p>
      <w:pPr>
        <w:spacing w:after="0"/>
        <w:ind w:left="0"/>
        <w:jc w:val="left"/>
      </w:pPr>
      <w:r>
        <w:rPr>
          <w:rFonts w:ascii="Times New Roman"/>
          <w:b/>
          <w:i w:val="false"/>
          <w:color w:val="000000"/>
        </w:rPr>
        <w:t xml:space="preserve"> Киберқауіпсіздік бөлігінде цифрландыру саласындағы тәуекел дәрежесін бағалау өлшемшарттары</w:t>
      </w:r>
    </w:p>
    <w:bookmarkEnd w:id="12"/>
    <w:p>
      <w:pPr>
        <w:spacing w:after="0"/>
        <w:ind w:left="0"/>
        <w:jc w:val="both"/>
      </w:pPr>
      <w:r>
        <w:rPr>
          <w:rFonts w:ascii="Times New Roman"/>
          <w:b w:val="false"/>
          <w:i w:val="false"/>
          <w:color w:val="ff0000"/>
          <w:sz w:val="28"/>
        </w:rPr>
        <w:t xml:space="preserve">
      Ескерту. 3-қосымша жаңа редакцияда - ҚР Жасанды интеллект және цифрлық даму министрінің м.а. 10.09.2026 </w:t>
      </w:r>
      <w:r>
        <w:rPr>
          <w:rFonts w:ascii="Times New Roman"/>
          <w:b w:val="false"/>
          <w:i w:val="false"/>
          <w:color w:val="ff0000"/>
          <w:sz w:val="28"/>
        </w:rPr>
        <w:t>№ 550/НҚ</w:t>
      </w:r>
      <w:r>
        <w:rPr>
          <w:rFonts w:ascii="Times New Roman"/>
          <w:b w:val="false"/>
          <w:i w:val="false"/>
          <w:color w:val="ff0000"/>
          <w:sz w:val="28"/>
        </w:rPr>
        <w:t xml:space="preserve"> және ҚР Премьер-Министрінің орынбасары – Ұлттық экономика министрінің 11.09.2026 № 145 (алғаш ресми жарияланған күнінен кейін он күнтізбелік күн өткен соң қолданысқа енгізіледі) бірлескен бұйрығымен.</w:t>
      </w:r>
    </w:p>
    <w:p>
      <w:pPr>
        <w:spacing w:after="0"/>
        <w:ind w:left="0"/>
        <w:jc w:val="left"/>
      </w:pPr>
      <w:r>
        <w:rPr>
          <w:rFonts w:ascii="Times New Roman"/>
          <w:b/>
          <w:i w:val="false"/>
          <w:color w:val="000000"/>
        </w:rPr>
        <w:t xml:space="preserve"> 1-тарау. Жалпы ережелер</w:t>
      </w:r>
    </w:p>
    <w:bookmarkStart w:name="z62" w:id="13"/>
    <w:p>
      <w:pPr>
        <w:spacing w:after="0"/>
        <w:ind w:left="0"/>
        <w:jc w:val="both"/>
      </w:pPr>
      <w:r>
        <w:rPr>
          <w:rFonts w:ascii="Times New Roman"/>
          <w:b w:val="false"/>
          <w:i w:val="false"/>
          <w:color w:val="000000"/>
          <w:sz w:val="28"/>
        </w:rPr>
        <w:t xml:space="preserve">
      1. Осы Киберқауіпсіздік бөлігінде ету цифрландыру саласындағы тәуекел дәрежесін бағалау өлшемшарттары (бұдан әрі – Өлшемшарттар) Қазақстан Республикасының Кәсіпкерлік кодексінің </w:t>
      </w:r>
      <w:r>
        <w:rPr>
          <w:rFonts w:ascii="Times New Roman"/>
          <w:b w:val="false"/>
          <w:i w:val="false"/>
          <w:color w:val="000000"/>
          <w:sz w:val="28"/>
        </w:rPr>
        <w:t>143-бабы</w:t>
      </w:r>
      <w:r>
        <w:rPr>
          <w:rFonts w:ascii="Times New Roman"/>
          <w:b w:val="false"/>
          <w:i w:val="false"/>
          <w:color w:val="000000"/>
          <w:sz w:val="28"/>
        </w:rPr>
        <w:t xml:space="preserve">, 141-бабының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тармақтарына</w:t>
      </w:r>
      <w:r>
        <w:rPr>
          <w:rFonts w:ascii="Times New Roman"/>
          <w:b w:val="false"/>
          <w:i w:val="false"/>
          <w:color w:val="000000"/>
          <w:sz w:val="28"/>
        </w:rPr>
        <w:t xml:space="preserve"> (бұдан әрі – Кодекс), "Реттеуші мемлекеттік органдардың тәуекелдерді бағалау және басқару жүйесін қалыптастыру қағидаларын бекіту және "Мемлекеттік органдардың тәуекелдерді бағалау жүйесін қалыптастыру қағидаларын және тексеру парақтарының нысанын бекіту туралы" Қазақстан Республикасы Ұлттық экономика министрінің міндетін атқарушының 2018 жылғы 31 шілдедегі № 3 бұйрығына өзгерістер енгізу туралы" Қазақстан Республикасы Ұлттық экономика министрінің міндетін атқарушының 2022 жылғы 22 маусымдағы № 48 бұйрығына өзгеріс енгізу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31148 болып тіркелген) және Қазақстан Республикасы Ұлттық экономика министрінің міндетін атқарушысының 2018 жылғы 31 шілдедегі № 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17371 болып тіркелген) бекітілген тексеру парағының нысанына сәйкес әзірленген.</w:t>
      </w:r>
    </w:p>
    <w:bookmarkEnd w:id="13"/>
    <w:bookmarkStart w:name="z63" w:id="14"/>
    <w:p>
      <w:pPr>
        <w:spacing w:after="0"/>
        <w:ind w:left="0"/>
        <w:jc w:val="both"/>
      </w:pPr>
      <w:r>
        <w:rPr>
          <w:rFonts w:ascii="Times New Roman"/>
          <w:b w:val="false"/>
          <w:i w:val="false"/>
          <w:color w:val="000000"/>
          <w:sz w:val="28"/>
        </w:rPr>
        <w:t>
      2. Осы Өлшемшарттарда мынадай ұғымдар пайдаланылады:</w:t>
      </w:r>
    </w:p>
    <w:bookmarkEnd w:id="14"/>
    <w:bookmarkStart w:name="z64" w:id="15"/>
    <w:p>
      <w:pPr>
        <w:spacing w:after="0"/>
        <w:ind w:left="0"/>
        <w:jc w:val="both"/>
      </w:pPr>
      <w:r>
        <w:rPr>
          <w:rFonts w:ascii="Times New Roman"/>
          <w:b w:val="false"/>
          <w:i w:val="false"/>
          <w:color w:val="000000"/>
          <w:sz w:val="28"/>
        </w:rPr>
        <w:t>
      1) елеулі бұзушылық – цифрлық ресурстарда, цифрлық жүйелерде және басқа да цифрландыру объектілері үшін қызмет көрсетуді елеулі шектеуге, жағдайдың елеулі нашарлауына немесе елеулі теріс салдарға әкеп соқтырған немесе әкеп соғуы мүмкін киберқауіпсіздік бөлігінде цифрландыру саласындағы, қызмет көрсету саласында екі немесе одан да көп расталған шағымдардың немесе өтініштердің болуы, цифрландыру саласында киберқауіпсіздік бөлігінде Қазақстан Республикасы нормативтік құқықтық актілерінің талаптарын сақтамау;</w:t>
      </w:r>
    </w:p>
    <w:bookmarkEnd w:id="15"/>
    <w:bookmarkStart w:name="z65" w:id="16"/>
    <w:p>
      <w:pPr>
        <w:spacing w:after="0"/>
        <w:ind w:left="0"/>
        <w:jc w:val="both"/>
      </w:pPr>
      <w:r>
        <w:rPr>
          <w:rFonts w:ascii="Times New Roman"/>
          <w:b w:val="false"/>
          <w:i w:val="false"/>
          <w:color w:val="000000"/>
          <w:sz w:val="28"/>
        </w:rPr>
        <w:t>
      2) елеусіз бұзушылық – электрондық цифрлық ресурстарға, цифрлық жүйелерге және басқа да цифрландыру объектілеріне әсер етпейтін елеусіз оқиғаларға әкеп соққан немесе әкелуі мүмкін киберқауіпсіздік бөлігінде цифрландыру саласындағы Қазақстан Республикасы нормативтік құқықтық актілерінің талаптарын сақтамау, киберқауіпсіздік бөлігінде цифрландыру саласында бір расталған шағымның немесе өтініштің болуы;</w:t>
      </w:r>
    </w:p>
    <w:bookmarkEnd w:id="16"/>
    <w:bookmarkStart w:name="z66" w:id="17"/>
    <w:p>
      <w:pPr>
        <w:spacing w:after="0"/>
        <w:ind w:left="0"/>
        <w:jc w:val="both"/>
      </w:pPr>
      <w:r>
        <w:rPr>
          <w:rFonts w:ascii="Times New Roman"/>
          <w:b w:val="false"/>
          <w:i w:val="false"/>
          <w:color w:val="000000"/>
          <w:sz w:val="28"/>
        </w:rPr>
        <w:t>
      3) Киберқауіпсіздік бөлігінде цифрландыру саласындағы бақылау субъектілері (бұдан әрі – бақылау субъектілері – квазимемлекеттік сектор субъектілері, мемлекеттік органдардың цифрлық жүйелерімен интеграцияланатын немесе мемлекеттік электрондық цифрлық ресурстарды қалыптастыруға арналған мемлекеттік емес цифрлық жүйелердің иелері мен иеленушілері, киберқауіпсіздікті қамтамасыз ету орталықтары, сондай-ақ аса маңызды цифрлық объектілерінің иелері мен иеленушілері;</w:t>
      </w:r>
    </w:p>
    <w:bookmarkEnd w:id="17"/>
    <w:bookmarkStart w:name="z67" w:id="18"/>
    <w:p>
      <w:pPr>
        <w:spacing w:after="0"/>
        <w:ind w:left="0"/>
        <w:jc w:val="both"/>
      </w:pPr>
      <w:r>
        <w:rPr>
          <w:rFonts w:ascii="Times New Roman"/>
          <w:b w:val="false"/>
          <w:i w:val="false"/>
          <w:color w:val="000000"/>
          <w:sz w:val="28"/>
        </w:rPr>
        <w:t>
      4) өрескел бұзушылық – цифрлық ресурстар, цифрлық жүйелер және басқа да цифрлық объектілер үшін елеулі теріс салдарға әкеп соққан немесе қызмет көрсету мүмкін болмауына әкеп соғуы мүмкін киберқауіпсіздік бөлігінде цифрландыру саласындағы Қазақстан Республикасы нормативтік құқықтық актілерінің талаптарын сақтамау, уәкілетті органның нұсқамаларын орындамау;</w:t>
      </w:r>
    </w:p>
    <w:bookmarkEnd w:id="18"/>
    <w:bookmarkStart w:name="z68" w:id="19"/>
    <w:p>
      <w:pPr>
        <w:spacing w:after="0"/>
        <w:ind w:left="0"/>
        <w:jc w:val="both"/>
      </w:pPr>
      <w:r>
        <w:rPr>
          <w:rFonts w:ascii="Times New Roman"/>
          <w:b w:val="false"/>
          <w:i w:val="false"/>
          <w:color w:val="000000"/>
          <w:sz w:val="28"/>
        </w:rPr>
        <w:t>
      5) тәуекел – бақылау субъектісінің қызметі нәтижесінде жеке және заңды тұлғалардың заңды мүдделеріне, мемлекеттің мүліктік мүдделеріне салдарларының ауырлық дәрежесін ескере отырып зиян келтіру ықтималдығы;</w:t>
      </w:r>
    </w:p>
    <w:bookmarkEnd w:id="19"/>
    <w:bookmarkStart w:name="z69" w:id="20"/>
    <w:p>
      <w:pPr>
        <w:spacing w:after="0"/>
        <w:ind w:left="0"/>
        <w:jc w:val="both"/>
      </w:pPr>
      <w:r>
        <w:rPr>
          <w:rFonts w:ascii="Times New Roman"/>
          <w:b w:val="false"/>
          <w:i w:val="false"/>
          <w:color w:val="000000"/>
          <w:sz w:val="28"/>
        </w:rPr>
        <w:t>
      6) тексеру парағы – бақылау субъектілерінің (объектілерінің) қызметіне қойылатын, олардың сақталмауы жеке және заңды тұлғалардың, мемлекеттің заңды мүдделеріне қатер төндіруге алып келетін талаптар тізбесі;</w:t>
      </w:r>
    </w:p>
    <w:bookmarkEnd w:id="20"/>
    <w:bookmarkStart w:name="z70" w:id="21"/>
    <w:p>
      <w:pPr>
        <w:spacing w:after="0"/>
        <w:ind w:left="0"/>
        <w:jc w:val="both"/>
      </w:pPr>
      <w:r>
        <w:rPr>
          <w:rFonts w:ascii="Times New Roman"/>
          <w:b w:val="false"/>
          <w:i w:val="false"/>
          <w:color w:val="000000"/>
          <w:sz w:val="28"/>
        </w:rPr>
        <w:t>
      7)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бақылау субъектісіне бару арқылы профилактикалық бақылауды кейіннен жүзеге асыру үшін бақылау субъектілерін тәуекел дәрежелері бойынша бөлу арқылы қолайсыз факторлардың туындау ықтималдығын азайтуға бағытталған, сондай-ақ нақты бақылау субъектісі (объектісі) үшін тәуекел деңгейін өзгертуге бағытталған басқарушылық шешімдерді қабылдау және (немесе) осындай бақылау субъектісін, бақылау субъектісіне бару арқылы профилактикалық бақылаудан босату процесі;</w:t>
      </w:r>
    </w:p>
    <w:bookmarkEnd w:id="21"/>
    <w:bookmarkStart w:name="z71" w:id="22"/>
    <w:p>
      <w:pPr>
        <w:spacing w:after="0"/>
        <w:ind w:left="0"/>
        <w:jc w:val="both"/>
      </w:pPr>
      <w:r>
        <w:rPr>
          <w:rFonts w:ascii="Times New Roman"/>
          <w:b w:val="false"/>
          <w:i w:val="false"/>
          <w:color w:val="000000"/>
          <w:sz w:val="28"/>
        </w:rPr>
        <w:t>
      8) тәуекел дәрежесін бағалаудың объективті өлшемшарттары (бұдан әрі – объективті өлшемшарттар) – белгілі бір қызмет саласында тәуекел дәрежесіне байланысты, субъектіден (объектіден) тікелей байланыссыз, бақылау субъектісін (объектісін) іріктеу үшін пайдаланылатын тәуекел дәрежесін бағалау өлшемшарттары;</w:t>
      </w:r>
    </w:p>
    <w:bookmarkEnd w:id="22"/>
    <w:bookmarkStart w:name="z72" w:id="23"/>
    <w:p>
      <w:pPr>
        <w:spacing w:after="0"/>
        <w:ind w:left="0"/>
        <w:jc w:val="both"/>
      </w:pPr>
      <w:r>
        <w:rPr>
          <w:rFonts w:ascii="Times New Roman"/>
          <w:b w:val="false"/>
          <w:i w:val="false"/>
          <w:color w:val="000000"/>
          <w:sz w:val="28"/>
        </w:rPr>
        <w:t>
      9) тәуекел дәрежесін бағалаудың субъективті өлшемшарттары (бұдан әрі – субъективті өлшемшарттар) – нақты бақылау субъектісінің (объектісінің) қызмет нәтижелеріне байланысты бақылау субъектілерін (объектілерін) іріктеу үшін пайдаланылатын тәуекел дәрежесін бағалау өлшемшарттары.</w:t>
      </w:r>
    </w:p>
    <w:bookmarkEnd w:id="23"/>
    <w:bookmarkStart w:name="z73" w:id="24"/>
    <w:p>
      <w:pPr>
        <w:spacing w:after="0"/>
        <w:ind w:left="0"/>
        <w:jc w:val="both"/>
      </w:pPr>
      <w:r>
        <w:rPr>
          <w:rFonts w:ascii="Times New Roman"/>
          <w:b w:val="false"/>
          <w:i w:val="false"/>
          <w:color w:val="000000"/>
          <w:sz w:val="28"/>
        </w:rPr>
        <w:t xml:space="preserve">
      3. Бақылау субъектісіне (объектісіне) бару арқылы профилактикалық бақылау үшін тәуекел дәрежесін бағалау өлшемшарттары объективті және субъективті өлшемшарттар арқылы қалыптастырылады. </w:t>
      </w:r>
    </w:p>
    <w:bookmarkEnd w:id="24"/>
    <w:bookmarkStart w:name="z74" w:id="25"/>
    <w:p>
      <w:pPr>
        <w:spacing w:after="0"/>
        <w:ind w:left="0"/>
        <w:jc w:val="left"/>
      </w:pPr>
      <w:r>
        <w:rPr>
          <w:rFonts w:ascii="Times New Roman"/>
          <w:b/>
          <w:i w:val="false"/>
          <w:color w:val="000000"/>
        </w:rPr>
        <w:t xml:space="preserve"> 2-тарау. Объективті өлшемшарттар</w:t>
      </w:r>
    </w:p>
    <w:bookmarkEnd w:id="25"/>
    <w:bookmarkStart w:name="z75" w:id="26"/>
    <w:p>
      <w:pPr>
        <w:spacing w:after="0"/>
        <w:ind w:left="0"/>
        <w:jc w:val="both"/>
      </w:pPr>
      <w:r>
        <w:rPr>
          <w:rFonts w:ascii="Times New Roman"/>
          <w:b w:val="false"/>
          <w:i w:val="false"/>
          <w:color w:val="000000"/>
          <w:sz w:val="28"/>
        </w:rPr>
        <w:t xml:space="preserve">
      4. Бірінші кезеңде объективті өлшемшарттар бойынша бақылау субъектілері тәуекелдің үш дәрежесі бойынша бөлінеді: осы өлшемшарттарға </w:t>
      </w:r>
      <w:r>
        <w:rPr>
          <w:rFonts w:ascii="Times New Roman"/>
          <w:b w:val="false"/>
          <w:i w:val="false"/>
          <w:color w:val="000000"/>
          <w:sz w:val="28"/>
        </w:rPr>
        <w:t>1-қосымшаға</w:t>
      </w:r>
      <w:r>
        <w:rPr>
          <w:rFonts w:ascii="Times New Roman"/>
          <w:b w:val="false"/>
          <w:i w:val="false"/>
          <w:color w:val="000000"/>
          <w:sz w:val="28"/>
        </w:rPr>
        <w:t xml:space="preserve"> сәйкес жоғары, орташа, төмен.</w:t>
      </w:r>
    </w:p>
    <w:bookmarkEnd w:id="26"/>
    <w:bookmarkStart w:name="z76" w:id="27"/>
    <w:p>
      <w:pPr>
        <w:spacing w:after="0"/>
        <w:ind w:left="0"/>
        <w:jc w:val="both"/>
      </w:pPr>
      <w:r>
        <w:rPr>
          <w:rFonts w:ascii="Times New Roman"/>
          <w:b w:val="false"/>
          <w:i w:val="false"/>
          <w:color w:val="000000"/>
          <w:sz w:val="28"/>
        </w:rPr>
        <w:t>
      5. Тәуекел дәрежесі жоғары субъектілерге аса маңызды цифрлық объектілерінің иелері мен иеленушілері жатады.</w:t>
      </w:r>
    </w:p>
    <w:bookmarkEnd w:id="27"/>
    <w:p>
      <w:pPr>
        <w:spacing w:after="0"/>
        <w:ind w:left="0"/>
        <w:jc w:val="both"/>
      </w:pPr>
      <w:r>
        <w:rPr>
          <w:rFonts w:ascii="Times New Roman"/>
          <w:b w:val="false"/>
          <w:i w:val="false"/>
          <w:color w:val="000000"/>
          <w:sz w:val="28"/>
        </w:rPr>
        <w:t>
      Тәуекел дәрежесі орташа субъектілерге квазимемлекеттік сектор субъектілері және мемлекеттік органдардың цифрлық жүйелерімен интеграцияланатын немесе мемлекеттік электрондық цифрлық ресурстарды қалыптастыруға арналған мемлекеттік емес цифрлық жүйелердің иелері мен иеленушілері жатады.</w:t>
      </w:r>
    </w:p>
    <w:p>
      <w:pPr>
        <w:spacing w:after="0"/>
        <w:ind w:left="0"/>
        <w:jc w:val="both"/>
      </w:pPr>
      <w:r>
        <w:rPr>
          <w:rFonts w:ascii="Times New Roman"/>
          <w:b w:val="false"/>
          <w:i w:val="false"/>
          <w:color w:val="000000"/>
          <w:sz w:val="28"/>
        </w:rPr>
        <w:t>
      Тәуекел дәрежесі төмен субъектілерге киберқауіпсіздікті қамтамасыз ету орталықтары жатады.</w:t>
      </w:r>
    </w:p>
    <w:bookmarkStart w:name="z77" w:id="28"/>
    <w:p>
      <w:pPr>
        <w:spacing w:after="0"/>
        <w:ind w:left="0"/>
        <w:jc w:val="left"/>
      </w:pPr>
      <w:r>
        <w:rPr>
          <w:rFonts w:ascii="Times New Roman"/>
          <w:b/>
          <w:i w:val="false"/>
          <w:color w:val="000000"/>
        </w:rPr>
        <w:t xml:space="preserve"> 3-тарау. Субъективті өлшемшарттар</w:t>
      </w:r>
    </w:p>
    <w:bookmarkEnd w:id="28"/>
    <w:bookmarkStart w:name="z78" w:id="29"/>
    <w:p>
      <w:pPr>
        <w:spacing w:after="0"/>
        <w:ind w:left="0"/>
        <w:jc w:val="both"/>
      </w:pPr>
      <w:r>
        <w:rPr>
          <w:rFonts w:ascii="Times New Roman"/>
          <w:b w:val="false"/>
          <w:i w:val="false"/>
          <w:color w:val="000000"/>
          <w:sz w:val="28"/>
        </w:rPr>
        <w:t xml:space="preserve">
      6. Субъективті өлшемшарттар тексеру парақтарында санамаланған талаптардың (бұдан әрі – талаптар) негізінде әзірленеді, онда талаптардың сақталмауы бағалау өлшемшарттарына сәйкес бұзушылықтың белгілі бір дәрежесіне сәйкес келеді. Тексеру парақтарының әрбір талаптарына қатысты бұзушылық дәрежесі – осы өлшемшарттардың қосымшасына сәйкес айқындалады. </w:t>
      </w:r>
    </w:p>
    <w:bookmarkEnd w:id="29"/>
    <w:bookmarkStart w:name="z79" w:id="30"/>
    <w:p>
      <w:pPr>
        <w:spacing w:after="0"/>
        <w:ind w:left="0"/>
        <w:jc w:val="both"/>
      </w:pPr>
      <w:r>
        <w:rPr>
          <w:rFonts w:ascii="Times New Roman"/>
          <w:b w:val="false"/>
          <w:i w:val="false"/>
          <w:color w:val="000000"/>
          <w:sz w:val="28"/>
        </w:rPr>
        <w:t>
      7. Субъективті өлшемшарттарды анықтау мынадай:</w:t>
      </w:r>
    </w:p>
    <w:bookmarkEnd w:id="30"/>
    <w:bookmarkStart w:name="z80" w:id="31"/>
    <w:p>
      <w:pPr>
        <w:spacing w:after="0"/>
        <w:ind w:left="0"/>
        <w:jc w:val="both"/>
      </w:pPr>
      <w:r>
        <w:rPr>
          <w:rFonts w:ascii="Times New Roman"/>
          <w:b w:val="false"/>
          <w:i w:val="false"/>
          <w:color w:val="000000"/>
          <w:sz w:val="28"/>
        </w:rPr>
        <w:t>
      1) деректер базасын қалыптастыру және ақпарат жинау;</w:t>
      </w:r>
    </w:p>
    <w:bookmarkEnd w:id="31"/>
    <w:bookmarkStart w:name="z81" w:id="32"/>
    <w:p>
      <w:pPr>
        <w:spacing w:after="0"/>
        <w:ind w:left="0"/>
        <w:jc w:val="both"/>
      </w:pPr>
      <w:r>
        <w:rPr>
          <w:rFonts w:ascii="Times New Roman"/>
          <w:b w:val="false"/>
          <w:i w:val="false"/>
          <w:color w:val="000000"/>
          <w:sz w:val="28"/>
        </w:rPr>
        <w:t>
      2) ақпаратты талдау және тәуекелдерді бағалау кезеңдерін пайдалана отырып жүзеге асырылады.</w:t>
      </w:r>
    </w:p>
    <w:bookmarkEnd w:id="32"/>
    <w:bookmarkStart w:name="z82" w:id="33"/>
    <w:p>
      <w:pPr>
        <w:spacing w:after="0"/>
        <w:ind w:left="0"/>
        <w:jc w:val="both"/>
      </w:pPr>
      <w:r>
        <w:rPr>
          <w:rFonts w:ascii="Times New Roman"/>
          <w:b w:val="false"/>
          <w:i w:val="false"/>
          <w:color w:val="000000"/>
          <w:sz w:val="28"/>
        </w:rPr>
        <w:t xml:space="preserve">
      8. Деректер базасын қалыптастыру және ақпарат жинау Қазақстан Республикасының киберқауіпсіздік бөлігінде цифрландыру саласындағы заңнамасын бұзатын бақылау субъектілерін (объектілерін) анықтау үшін қажет. </w:t>
      </w:r>
    </w:p>
    <w:bookmarkEnd w:id="33"/>
    <w:bookmarkStart w:name="z83" w:id="34"/>
    <w:p>
      <w:pPr>
        <w:spacing w:after="0"/>
        <w:ind w:left="0"/>
        <w:jc w:val="both"/>
      </w:pPr>
      <w:r>
        <w:rPr>
          <w:rFonts w:ascii="Times New Roman"/>
          <w:b w:val="false"/>
          <w:i w:val="false"/>
          <w:color w:val="000000"/>
          <w:sz w:val="28"/>
        </w:rPr>
        <w:t xml:space="preserve">
      9. Тәуекелдер дәрежесін субъективті өлшемшарттар бойынша бағалау үшін ақпараттың мынадай дереккөздері пайдаланылады: </w:t>
      </w:r>
    </w:p>
    <w:bookmarkEnd w:id="34"/>
    <w:bookmarkStart w:name="z84" w:id="35"/>
    <w:p>
      <w:pPr>
        <w:spacing w:after="0"/>
        <w:ind w:left="0"/>
        <w:jc w:val="both"/>
      </w:pPr>
      <w:r>
        <w:rPr>
          <w:rFonts w:ascii="Times New Roman"/>
          <w:b w:val="false"/>
          <w:i w:val="false"/>
          <w:color w:val="000000"/>
          <w:sz w:val="28"/>
        </w:rPr>
        <w:t xml:space="preserve">
      1) бақылау субъектілеріне (объектілеріне) бару арқылы алдыңғы профилактикалық бақылау және тексеру нәтижелері. </w:t>
      </w:r>
    </w:p>
    <w:bookmarkEnd w:id="35"/>
    <w:bookmarkStart w:name="z85" w:id="36"/>
    <w:p>
      <w:pPr>
        <w:spacing w:after="0"/>
        <w:ind w:left="0"/>
        <w:jc w:val="both"/>
      </w:pPr>
      <w:r>
        <w:rPr>
          <w:rFonts w:ascii="Times New Roman"/>
          <w:b w:val="false"/>
          <w:i w:val="false"/>
          <w:color w:val="000000"/>
          <w:sz w:val="28"/>
        </w:rPr>
        <w:t>
      10. Әрбір ақпараттық дереккөз бойынша тәуекел дәрежесі мынадай жолмен айқындалады.</w:t>
      </w:r>
    </w:p>
    <w:bookmarkEnd w:id="36"/>
    <w:p>
      <w:pPr>
        <w:spacing w:after="0"/>
        <w:ind w:left="0"/>
        <w:jc w:val="both"/>
      </w:pPr>
      <w:r>
        <w:rPr>
          <w:rFonts w:ascii="Times New Roman"/>
          <w:b w:val="false"/>
          <w:i w:val="false"/>
          <w:color w:val="000000"/>
          <w:sz w:val="28"/>
        </w:rPr>
        <w:t xml:space="preserve">
      Өрескел дәреженің бір орындалмаған талабы 100 көрсеткішіне теңестіріледі және бұл ішінара тәртіппен тексеру жүргізу үшін негіздеме болып табылады. </w:t>
      </w:r>
    </w:p>
    <w:p>
      <w:pPr>
        <w:spacing w:after="0"/>
        <w:ind w:left="0"/>
        <w:jc w:val="both"/>
      </w:pPr>
      <w:r>
        <w:rPr>
          <w:rFonts w:ascii="Times New Roman"/>
          <w:b w:val="false"/>
          <w:i w:val="false"/>
          <w:color w:val="000000"/>
          <w:sz w:val="28"/>
        </w:rPr>
        <w:t>
      Егер талаптардың өрескел дәрежесінің бұзушылығы анықталмаған жағдайда, онда тәуекел дәрежесінің көрсеткішін анықтау үшін елеулі және болмашы дәрежелері талаптарының бұзушылығы бойынша жиынтық көрсеткіш есептеледі.</w:t>
      </w:r>
    </w:p>
    <w:p>
      <w:pPr>
        <w:spacing w:after="0"/>
        <w:ind w:left="0"/>
        <w:jc w:val="both"/>
      </w:pPr>
      <w:r>
        <w:rPr>
          <w:rFonts w:ascii="Times New Roman"/>
          <w:b w:val="false"/>
          <w:i w:val="false"/>
          <w:color w:val="000000"/>
          <w:sz w:val="28"/>
        </w:rPr>
        <w:t>
      Елеулі дәреженің бұзушылық көрсеткішін айқындау кезінде 0,7 коэффициенті қолданылады және осы көрсеткіш мынадай формуламен есептеледі:</w:t>
      </w:r>
    </w:p>
    <w:p>
      <w:pPr>
        <w:spacing w:after="0"/>
        <w:ind w:left="0"/>
        <w:jc w:val="both"/>
      </w:pPr>
      <w:r>
        <w:rPr>
          <w:rFonts w:ascii="Times New Roman"/>
          <w:b w:val="false"/>
          <w:i w:val="false"/>
          <w:color w:val="000000"/>
          <w:sz w:val="28"/>
        </w:rPr>
        <w:t>
      SР3 = (SР2 х 100/ SР1) х 0,7, мұндағы:</w:t>
      </w:r>
    </w:p>
    <w:p>
      <w:pPr>
        <w:spacing w:after="0"/>
        <w:ind w:left="0"/>
        <w:jc w:val="both"/>
      </w:pPr>
      <w:r>
        <w:rPr>
          <w:rFonts w:ascii="Times New Roman"/>
          <w:b w:val="false"/>
          <w:i w:val="false"/>
          <w:color w:val="000000"/>
          <w:sz w:val="28"/>
        </w:rPr>
        <w:t>
      SР3 - елеусіз бұзушылықтар көрсеткіші;</w:t>
      </w:r>
    </w:p>
    <w:p>
      <w:pPr>
        <w:spacing w:after="0"/>
        <w:ind w:left="0"/>
        <w:jc w:val="both"/>
      </w:pPr>
      <w:r>
        <w:rPr>
          <w:rFonts w:ascii="Times New Roman"/>
          <w:b w:val="false"/>
          <w:i w:val="false"/>
          <w:color w:val="000000"/>
          <w:sz w:val="28"/>
        </w:rPr>
        <w:t>
      SР1 - елеулі бұзушылықтардың талап етілетін саны;</w:t>
      </w:r>
    </w:p>
    <w:p>
      <w:pPr>
        <w:spacing w:after="0"/>
        <w:ind w:left="0"/>
        <w:jc w:val="both"/>
      </w:pPr>
      <w:r>
        <w:rPr>
          <w:rFonts w:ascii="Times New Roman"/>
          <w:b w:val="false"/>
          <w:i w:val="false"/>
          <w:color w:val="000000"/>
          <w:sz w:val="28"/>
        </w:rPr>
        <w:t>
      SР2 - анықталған елеулі бұзушылықтар саны.</w:t>
      </w:r>
    </w:p>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 Бұл көрсеткіш мына формула бойынша есептеледі:</w:t>
      </w:r>
    </w:p>
    <w:p>
      <w:pPr>
        <w:spacing w:after="0"/>
        <w:ind w:left="0"/>
        <w:jc w:val="both"/>
      </w:pPr>
      <w:r>
        <w:rPr>
          <w:rFonts w:ascii="Times New Roman"/>
          <w:b w:val="false"/>
          <w:i w:val="false"/>
          <w:color w:val="000000"/>
          <w:sz w:val="28"/>
        </w:rPr>
        <w:t>
      SРH = (SР2 х 100/ SР1) х 0,3, мұндағы:</w:t>
      </w:r>
    </w:p>
    <w:p>
      <w:pPr>
        <w:spacing w:after="0"/>
        <w:ind w:left="0"/>
        <w:jc w:val="both"/>
      </w:pPr>
      <w:r>
        <w:rPr>
          <w:rFonts w:ascii="Times New Roman"/>
          <w:b w:val="false"/>
          <w:i w:val="false"/>
          <w:color w:val="000000"/>
          <w:sz w:val="28"/>
        </w:rPr>
        <w:t>
      SРH - елеусіз бұзушылықтар көрсеткіші;</w:t>
      </w:r>
    </w:p>
    <w:p>
      <w:pPr>
        <w:spacing w:after="0"/>
        <w:ind w:left="0"/>
        <w:jc w:val="both"/>
      </w:pPr>
      <w:r>
        <w:rPr>
          <w:rFonts w:ascii="Times New Roman"/>
          <w:b w:val="false"/>
          <w:i w:val="false"/>
          <w:color w:val="000000"/>
          <w:sz w:val="28"/>
        </w:rPr>
        <w:t>
      SР1 - елеусіз бұзушылықтардың талап етілетін саны;</w:t>
      </w:r>
    </w:p>
    <w:p>
      <w:pPr>
        <w:spacing w:after="0"/>
        <w:ind w:left="0"/>
        <w:jc w:val="both"/>
      </w:pPr>
      <w:r>
        <w:rPr>
          <w:rFonts w:ascii="Times New Roman"/>
          <w:b w:val="false"/>
          <w:i w:val="false"/>
          <w:color w:val="000000"/>
          <w:sz w:val="28"/>
        </w:rPr>
        <w:t>
      SР2 - анықталған елеусіз бұзушылықтардың саны.</w:t>
      </w:r>
    </w:p>
    <w:p>
      <w:pPr>
        <w:spacing w:after="0"/>
        <w:ind w:left="0"/>
        <w:jc w:val="both"/>
      </w:pPr>
      <w:r>
        <w:rPr>
          <w:rFonts w:ascii="Times New Roman"/>
          <w:b w:val="false"/>
          <w:i w:val="false"/>
          <w:color w:val="000000"/>
          <w:sz w:val="28"/>
        </w:rPr>
        <w:t>
       Бұзушылықтар бойынша тәуекел дәрежесінің көрсеткіші (SР) 0-ден 100-ге дейінгі шәкіл бойынша есептеледі және мына формула бойынша елеулі және болмашы бұзушылықтардың көрсеткіштерін қосу арқылы айқындалады:</w:t>
      </w:r>
    </w:p>
    <w:p>
      <w:pPr>
        <w:spacing w:after="0"/>
        <w:ind w:left="0"/>
        <w:jc w:val="both"/>
      </w:pPr>
      <w:r>
        <w:rPr>
          <w:rFonts w:ascii="Times New Roman"/>
          <w:b w:val="false"/>
          <w:i w:val="false"/>
          <w:color w:val="000000"/>
          <w:sz w:val="28"/>
        </w:rPr>
        <w:t>
      SР = SР3+ SРH мұндағы:</w:t>
      </w:r>
    </w:p>
    <w:p>
      <w:pPr>
        <w:spacing w:after="0"/>
        <w:ind w:left="0"/>
        <w:jc w:val="both"/>
      </w:pPr>
      <w:r>
        <w:rPr>
          <w:rFonts w:ascii="Times New Roman"/>
          <w:b w:val="false"/>
          <w:i w:val="false"/>
          <w:color w:val="000000"/>
          <w:sz w:val="28"/>
        </w:rPr>
        <w:t>
      SР - тәуекел дәрежесінің ортақ көрсеткіші;</w:t>
      </w:r>
    </w:p>
    <w:p>
      <w:pPr>
        <w:spacing w:after="0"/>
        <w:ind w:left="0"/>
        <w:jc w:val="both"/>
      </w:pPr>
      <w:r>
        <w:rPr>
          <w:rFonts w:ascii="Times New Roman"/>
          <w:b w:val="false"/>
          <w:i w:val="false"/>
          <w:color w:val="000000"/>
          <w:sz w:val="28"/>
        </w:rPr>
        <w:t>
      SР3 - елеулі бұзушылықтар көрсеткіші;</w:t>
      </w:r>
    </w:p>
    <w:p>
      <w:pPr>
        <w:spacing w:after="0"/>
        <w:ind w:left="0"/>
        <w:jc w:val="both"/>
      </w:pPr>
      <w:r>
        <w:rPr>
          <w:rFonts w:ascii="Times New Roman"/>
          <w:b w:val="false"/>
          <w:i w:val="false"/>
          <w:color w:val="000000"/>
          <w:sz w:val="28"/>
        </w:rPr>
        <w:t>
      SРH - елеусіз бұзушылықтар көрсеткіші.</w:t>
      </w:r>
    </w:p>
    <w:p>
      <w:pPr>
        <w:spacing w:after="0"/>
        <w:ind w:left="0"/>
        <w:jc w:val="both"/>
      </w:pPr>
      <w:r>
        <w:rPr>
          <w:rFonts w:ascii="Times New Roman"/>
          <w:b w:val="false"/>
          <w:i w:val="false"/>
          <w:color w:val="000000"/>
          <w:sz w:val="28"/>
        </w:rPr>
        <w:t>
      Тәуекел дәрежесінің көрсеткіштері бойынша бақылау субъектісі (объектісі) жатқызылады:</w:t>
      </w:r>
    </w:p>
    <w:p>
      <w:pPr>
        <w:spacing w:after="0"/>
        <w:ind w:left="0"/>
        <w:jc w:val="both"/>
      </w:pPr>
      <w:r>
        <w:rPr>
          <w:rFonts w:ascii="Times New Roman"/>
          <w:b w:val="false"/>
          <w:i w:val="false"/>
          <w:color w:val="000000"/>
          <w:sz w:val="28"/>
        </w:rPr>
        <w:t>
      жоғары тәуекел дәрежесіне – тәуекел дәрежесі 71-ден 100-ге дейінгі көрсеткіш кезінде және оған қатысты бақылау субъектісіне (объектісіне) бару арқылы профилактикалық бақылау жүргізіледі;</w:t>
      </w:r>
    </w:p>
    <w:p>
      <w:pPr>
        <w:spacing w:after="0"/>
        <w:ind w:left="0"/>
        <w:jc w:val="both"/>
      </w:pPr>
      <w:r>
        <w:rPr>
          <w:rFonts w:ascii="Times New Roman"/>
          <w:b w:val="false"/>
          <w:i w:val="false"/>
          <w:color w:val="000000"/>
          <w:sz w:val="28"/>
        </w:rPr>
        <w:t>
      жоғары тәуекел дәрежесіне жатқызылмаған – тәуекел дәрежесі 0-ден 71-ге дейінгі көрсеткіш кезінде және оған қатысты бақылау субъектісіне (объектісіне) бару арқылы профилактикалық бақылау жүргізілмейді.</w:t>
      </w:r>
    </w:p>
    <w:bookmarkStart w:name="z86" w:id="37"/>
    <w:p>
      <w:pPr>
        <w:spacing w:after="0"/>
        <w:ind w:left="0"/>
        <w:jc w:val="both"/>
      </w:pPr>
      <w:r>
        <w:rPr>
          <w:rFonts w:ascii="Times New Roman"/>
          <w:b w:val="false"/>
          <w:i w:val="false"/>
          <w:color w:val="000000"/>
          <w:sz w:val="28"/>
        </w:rPr>
        <w:t>
      11. Бақылау субъектісіне (объектісіне) бару арқылы профилактикалық бақылау жүргізудің жиілігі жарты жылда бір реттен артық болмау керек.</w:t>
      </w:r>
    </w:p>
    <w:bookmarkEnd w:id="37"/>
    <w:bookmarkStart w:name="z87" w:id="38"/>
    <w:p>
      <w:pPr>
        <w:spacing w:after="0"/>
        <w:ind w:left="0"/>
        <w:jc w:val="both"/>
      </w:pPr>
      <w:r>
        <w:rPr>
          <w:rFonts w:ascii="Times New Roman"/>
          <w:b w:val="false"/>
          <w:i w:val="false"/>
          <w:color w:val="000000"/>
          <w:sz w:val="28"/>
        </w:rPr>
        <w:t>
      12. Субъектіге (объектіге) бару арқылы профилактикалық бақылау субъектіге (объектіге) бару арқылы профилактикалық бақылаудың жартыжылдық тізімдері негізінде жүзеге асырылады.</w:t>
      </w:r>
    </w:p>
    <w:bookmarkEnd w:id="38"/>
    <w:bookmarkStart w:name="z88" w:id="39"/>
    <w:p>
      <w:pPr>
        <w:spacing w:after="0"/>
        <w:ind w:left="0"/>
        <w:jc w:val="both"/>
      </w:pPr>
      <w:r>
        <w:rPr>
          <w:rFonts w:ascii="Times New Roman"/>
          <w:b w:val="false"/>
          <w:i w:val="false"/>
          <w:color w:val="000000"/>
          <w:sz w:val="28"/>
        </w:rPr>
        <w:t>
      13. Субъектіге (объектіге) бару арқылы профилактикалық бақылаудың тізімдері субъективті өлшемшарттар бойынша тәуекел дәрежесінің ең жоғары көрсеткіштерімен бақылау субъектісінің (объектісінің) басымдылығын есепке ала отырып жасалады.</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Киберқауіпсіздік бөлігінде</w:t>
            </w:r>
            <w:r>
              <w:br/>
            </w:r>
            <w:r>
              <w:rPr>
                <w:rFonts w:ascii="Times New Roman"/>
                <w:b w:val="false"/>
                <w:i w:val="false"/>
                <w:color w:val="000000"/>
                <w:sz w:val="20"/>
              </w:rPr>
              <w:t>цифрландыру саласындағы</w:t>
            </w:r>
            <w:r>
              <w:br/>
            </w:r>
            <w:r>
              <w:rPr>
                <w:rFonts w:ascii="Times New Roman"/>
                <w:b w:val="false"/>
                <w:i w:val="false"/>
                <w:color w:val="000000"/>
                <w:sz w:val="20"/>
              </w:rPr>
              <w:t>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қосымша</w:t>
            </w:r>
          </w:p>
        </w:tc>
      </w:tr>
    </w:tbl>
    <w:bookmarkStart w:name="z90" w:id="40"/>
    <w:p>
      <w:pPr>
        <w:spacing w:after="0"/>
        <w:ind w:left="0"/>
        <w:jc w:val="left"/>
      </w:pPr>
      <w:r>
        <w:rPr>
          <w:rFonts w:ascii="Times New Roman"/>
          <w:b/>
          <w:i w:val="false"/>
          <w:color w:val="000000"/>
        </w:rPr>
        <w:t xml:space="preserve"> Субъективті өлшемшарттар бойынша тәуекел дәрежесін айқындауға арналған субъективті өлшемшарттар тізбесі</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субъектілеріне (объектілеріне) бару арқылы алдыңғы тексерулер мен профилактикалық бақылау нәтижелері (ауырлық дәрежесі келесі талаптарды орындамау кезінде анықталады)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Спутниктік (ғарыштық) байланыс арналарын пайдаланатын ауылдық елді мекендердің орта білім беру объектілерін және екінші деңгейдегі банктерді қоспағанда, мемлекеттік органдардың жергілікті, ведомстволық және корпоративтік телекоммуникация желілерін, жергілікті атқарушы органның (бұдан әрі-ЖАО), мемлекеттік заңды тұлғалардың, квазимемлекеттік сектор субъектілерінің, сондай-ақ аса маңызды цифрлық объектілерінің иелерін байланыс операторларының Интернетке қол жеткізудің бірыңғай шлюзі арқылы Интернетке қосуын жүзеге асыру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маңызды цифрлық объектілері иеленушілерінің Ақпараттық қауіпсіздіктің ұлттық үйлестіру орталығын киберқауіпсіздіктің оқыс оқиғалары туралы хабардар етуі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 қолдану жөніндегі талаптарды сақтау:</w:t>
            </w:r>
          </w:p>
          <w:p>
            <w:pPr>
              <w:spacing w:after="20"/>
              <w:ind w:left="20"/>
              <w:jc w:val="both"/>
            </w:pPr>
            <w:r>
              <w:rPr>
                <w:rFonts w:ascii="Times New Roman"/>
                <w:b w:val="false"/>
                <w:i w:val="false"/>
                <w:color w:val="000000"/>
                <w:sz w:val="20"/>
              </w:rPr>
              <w:t>
пайдаланушыларды сәйкестендіру, аутентификациялау және қол жеткізуді басқару;</w:t>
            </w:r>
          </w:p>
          <w:p>
            <w:pPr>
              <w:spacing w:after="20"/>
              <w:ind w:left="20"/>
              <w:jc w:val="both"/>
            </w:pPr>
            <w:r>
              <w:rPr>
                <w:rFonts w:ascii="Times New Roman"/>
                <w:b w:val="false"/>
                <w:i w:val="false"/>
                <w:color w:val="000000"/>
                <w:sz w:val="20"/>
              </w:rPr>
              <w:t>
жабдықты сәйкестендіру;</w:t>
            </w:r>
          </w:p>
          <w:p>
            <w:pPr>
              <w:spacing w:after="20"/>
              <w:ind w:left="20"/>
              <w:jc w:val="both"/>
            </w:pPr>
            <w:r>
              <w:rPr>
                <w:rFonts w:ascii="Times New Roman"/>
                <w:b w:val="false"/>
                <w:i w:val="false"/>
                <w:color w:val="000000"/>
                <w:sz w:val="20"/>
              </w:rPr>
              <w:t>
диагностикалық және конфигурациялық порттарды қорғау;</w:t>
            </w:r>
          </w:p>
          <w:p>
            <w:pPr>
              <w:spacing w:after="20"/>
              <w:ind w:left="20"/>
              <w:jc w:val="both"/>
            </w:pPr>
            <w:r>
              <w:rPr>
                <w:rFonts w:ascii="Times New Roman"/>
                <w:b w:val="false"/>
                <w:i w:val="false"/>
                <w:color w:val="000000"/>
                <w:sz w:val="20"/>
              </w:rPr>
              <w:t>
жергілікті желіні физикалық сегменттеу;</w:t>
            </w:r>
          </w:p>
          <w:p>
            <w:pPr>
              <w:spacing w:after="20"/>
              <w:ind w:left="20"/>
              <w:jc w:val="both"/>
            </w:pPr>
            <w:r>
              <w:rPr>
                <w:rFonts w:ascii="Times New Roman"/>
                <w:b w:val="false"/>
                <w:i w:val="false"/>
                <w:color w:val="000000"/>
                <w:sz w:val="20"/>
              </w:rPr>
              <w:t>
жергілікті желіні логикалық сегменттеу;</w:t>
            </w:r>
          </w:p>
          <w:p>
            <w:pPr>
              <w:spacing w:after="20"/>
              <w:ind w:left="20"/>
              <w:jc w:val="both"/>
            </w:pPr>
            <w:r>
              <w:rPr>
                <w:rFonts w:ascii="Times New Roman"/>
                <w:b w:val="false"/>
                <w:i w:val="false"/>
                <w:color w:val="000000"/>
                <w:sz w:val="20"/>
              </w:rPr>
              <w:t>
желілік қосылымдарды басқару;</w:t>
            </w:r>
          </w:p>
          <w:p>
            <w:pPr>
              <w:spacing w:after="20"/>
              <w:ind w:left="20"/>
              <w:jc w:val="both"/>
            </w:pPr>
            <w:r>
              <w:rPr>
                <w:rFonts w:ascii="Times New Roman"/>
                <w:b w:val="false"/>
                <w:i w:val="false"/>
                <w:color w:val="000000"/>
                <w:sz w:val="20"/>
              </w:rPr>
              <w:t>
брандмауэр;</w:t>
            </w:r>
          </w:p>
          <w:p>
            <w:pPr>
              <w:spacing w:after="20"/>
              <w:ind w:left="20"/>
              <w:jc w:val="both"/>
            </w:pPr>
            <w:r>
              <w:rPr>
                <w:rFonts w:ascii="Times New Roman"/>
                <w:b w:val="false"/>
                <w:i w:val="false"/>
                <w:color w:val="000000"/>
                <w:sz w:val="20"/>
              </w:rPr>
              <w:t>
жергілікті желінің ішкі мекенжай кеңістігін жасыру;</w:t>
            </w:r>
          </w:p>
          <w:p>
            <w:pPr>
              <w:spacing w:after="20"/>
              <w:ind w:left="20"/>
              <w:jc w:val="both"/>
            </w:pPr>
            <w:r>
              <w:rPr>
                <w:rFonts w:ascii="Times New Roman"/>
                <w:b w:val="false"/>
                <w:i w:val="false"/>
                <w:color w:val="000000"/>
                <w:sz w:val="20"/>
              </w:rPr>
              <w:t>
деректердің, хабарламалардың және конфигурациялардың тұтастығын бақылау;</w:t>
            </w:r>
          </w:p>
          <w:p>
            <w:pPr>
              <w:spacing w:after="20"/>
              <w:ind w:left="20"/>
              <w:jc w:val="both"/>
            </w:pPr>
            <w:r>
              <w:rPr>
                <w:rFonts w:ascii="Times New Roman"/>
                <w:b w:val="false"/>
                <w:i w:val="false"/>
                <w:color w:val="000000"/>
                <w:sz w:val="20"/>
              </w:rPr>
              <w:t>
ақпаратты криптографиялық қорғау.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Сыныптауышқа сәйкес "цифрлық үкіметтің" бірінші және екінші сыныптағы цифрлық объектілерін пайдалану кезінде Киберқауіпсіздікті қамтамасыз ету, қорғау және цифрлық объектілерді қауіпсіз жұмыс істеуін қамтамасыз ету мониторингі жүйесіне қосылу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контурдың жергілікті желілерінен интернетке қол жеткізуді ұйымдастыру кезінде интернет желісіне қосылған жұмыс станцияларында вирусқа қарсы құралдардың, операциялық жүйелердің жаңартуларының болуы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объектілерді құру, сүйемелдеу және дамыту мәселелерімен айналысатын басқа құрылымдық бөлімшелерден оқшауланған құрылымдық бөлімше болып табылатын киберқауіпсіздік бөлімшесінің болуы немесе сертификат бере отырып, киберқауіпсіздікті қамтамасыз етуге және киберқауіпсіздікті қамтамасыз ету саласында кемінде үш жылда бір рет сертификат бере отырып мамандандырылған курстардан өтуге жауапты лауазымды адамды айқындау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 (бұдан әрі – МО), ЖАО немесе ұйым өз қызметінде басшылыққа алатын құжатталған қағидалардың, рәсімдердің, практикалық тәсілдердің немесе басшылық қағидаттардың төрт деңгейлі жүйесі түрінде киберқауіпсіздікті қамтамасыз ету жөніндегі нормативтік-техникалық құжаттаманың (бұдан әрі – ТҚ) болуы және оған сәйкестігі бойынша талаптарды сақтау киберқауіпсіздікті қамтамасыз ету жөніндегі ТҚ қазақ және орыс тілдерінде әзірленеді, МО-ның, ЖАО-ның немесе ұйымның құқықтық актісімен бекітіледі және МО, ЖАО барлық қызметшілерінің немесе ұйым қызметкерлерінің назарына жеткізіледі.</w:t>
            </w:r>
          </w:p>
          <w:p>
            <w:pPr>
              <w:spacing w:after="20"/>
              <w:ind w:left="20"/>
              <w:jc w:val="both"/>
            </w:pPr>
            <w:r>
              <w:rPr>
                <w:rFonts w:ascii="Times New Roman"/>
                <w:b w:val="false"/>
                <w:i w:val="false"/>
                <w:color w:val="000000"/>
                <w:sz w:val="20"/>
              </w:rPr>
              <w:t>
Киберқауіпсіздікті қамтамасыз ету жөніндегі ТҚ ондағы ақпаратты талдау және жаңарту мақсатында кемінде екі жылда бір рет қайта қаралады.</w:t>
            </w:r>
          </w:p>
          <w:p>
            <w:pPr>
              <w:spacing w:after="20"/>
              <w:ind w:left="20"/>
              <w:jc w:val="both"/>
            </w:pPr>
            <w:r>
              <w:rPr>
                <w:rFonts w:ascii="Times New Roman"/>
                <w:b w:val="false"/>
                <w:i w:val="false"/>
                <w:color w:val="000000"/>
                <w:sz w:val="20"/>
              </w:rPr>
              <w:t>
1. МО-ның, ЖАО-ның немесе ұйымның киберқауіпсіздік саясаты бірінші деңгейдегі құжат болып табылады және МО немесе ұйым күнделікті қызметінде басшылыққа алатын киберқауіпсіздікті қамтамасыз ету саласындағы мақсаттарды, міндеттерді, басшылық қағидаттары мен практикалық тәсілдерді айқындайды.</w:t>
            </w:r>
          </w:p>
          <w:p>
            <w:pPr>
              <w:spacing w:after="20"/>
              <w:ind w:left="20"/>
              <w:jc w:val="both"/>
            </w:pPr>
            <w:r>
              <w:rPr>
                <w:rFonts w:ascii="Times New Roman"/>
                <w:b w:val="false"/>
                <w:i w:val="false"/>
                <w:color w:val="000000"/>
                <w:sz w:val="20"/>
              </w:rPr>
              <w:t>
2. Екінші деңгейдегі құжаттар тізбесіне МО-ның, ЖАО-ның немесе ұйымның киберқауіпсіздік саясатының талаптарын нақтылайтын құжаттар кіреді, оның ішінде:</w:t>
            </w:r>
          </w:p>
          <w:p>
            <w:pPr>
              <w:spacing w:after="20"/>
              <w:ind w:left="20"/>
              <w:jc w:val="both"/>
            </w:pPr>
            <w:r>
              <w:rPr>
                <w:rFonts w:ascii="Times New Roman"/>
                <w:b w:val="false"/>
                <w:i w:val="false"/>
                <w:color w:val="000000"/>
                <w:sz w:val="20"/>
              </w:rPr>
              <w:t>
1) киберқауіпсіздіктің тәуекелдерін бағалау әдістемесі;</w:t>
            </w:r>
          </w:p>
          <w:p>
            <w:pPr>
              <w:spacing w:after="20"/>
              <w:ind w:left="20"/>
              <w:jc w:val="both"/>
            </w:pPr>
            <w:r>
              <w:rPr>
                <w:rFonts w:ascii="Times New Roman"/>
                <w:b w:val="false"/>
                <w:i w:val="false"/>
                <w:color w:val="000000"/>
                <w:sz w:val="20"/>
              </w:rPr>
              <w:t>
2) ақпаратты өңдеу және оларды түгендеу құралдарымен байланысты активтерді сәйкестендіру, жіктеу және таңбалау, паспорттау қағидалары;</w:t>
            </w:r>
          </w:p>
          <w:p>
            <w:pPr>
              <w:spacing w:after="20"/>
              <w:ind w:left="20"/>
              <w:jc w:val="both"/>
            </w:pPr>
            <w:r>
              <w:rPr>
                <w:rFonts w:ascii="Times New Roman"/>
                <w:b w:val="false"/>
                <w:i w:val="false"/>
                <w:color w:val="000000"/>
                <w:sz w:val="20"/>
              </w:rPr>
              <w:t>
3) ішкі киберқауіпсіздік аудитін жүргізу қағидалары;</w:t>
            </w:r>
          </w:p>
          <w:p>
            <w:pPr>
              <w:spacing w:after="20"/>
              <w:ind w:left="20"/>
              <w:jc w:val="both"/>
            </w:pPr>
            <w:r>
              <w:rPr>
                <w:rFonts w:ascii="Times New Roman"/>
                <w:b w:val="false"/>
                <w:i w:val="false"/>
                <w:color w:val="000000"/>
                <w:sz w:val="20"/>
              </w:rPr>
              <w:t>
4) ақпаратты криптографиялық қорғау құралдарын (бұдан әрі - АКҚҚ) пайдалану тәртібі;</w:t>
            </w:r>
          </w:p>
          <w:p>
            <w:pPr>
              <w:spacing w:after="20"/>
              <w:ind w:left="20"/>
              <w:jc w:val="both"/>
            </w:pPr>
            <w:r>
              <w:rPr>
                <w:rFonts w:ascii="Times New Roman"/>
                <w:b w:val="false"/>
                <w:i w:val="false"/>
                <w:color w:val="000000"/>
                <w:sz w:val="20"/>
              </w:rPr>
              <w:t>
5) аутентификациялау рәсімін ұйымдастыру, цифрлық ресурстарға қол жеткізу құқығының аражігін ажырату қағидалары;</w:t>
            </w:r>
          </w:p>
          <w:p>
            <w:pPr>
              <w:spacing w:after="20"/>
              <w:ind w:left="20"/>
              <w:jc w:val="both"/>
            </w:pPr>
            <w:r>
              <w:rPr>
                <w:rFonts w:ascii="Times New Roman"/>
                <w:b w:val="false"/>
                <w:i w:val="false"/>
                <w:color w:val="000000"/>
                <w:sz w:val="20"/>
              </w:rPr>
              <w:t>
6) вирусқа қарсы бақылауды ұйымдастыру , мобильдік қондырғыларды және ақпаратты тасығыштарды пайдалану, интернет желісі мен электрондық поштаны пайдалану қағидалары;</w:t>
            </w:r>
          </w:p>
          <w:p>
            <w:pPr>
              <w:spacing w:after="20"/>
              <w:ind w:left="20"/>
              <w:jc w:val="both"/>
            </w:pPr>
            <w:r>
              <w:rPr>
                <w:rFonts w:ascii="Times New Roman"/>
                <w:b w:val="false"/>
                <w:i w:val="false"/>
                <w:color w:val="000000"/>
                <w:sz w:val="20"/>
              </w:rPr>
              <w:t>
7) ақпараттық ресурстардың жұмыс істеуінің физикалық қорғалуын және қауіпсіз ортасын ұйымдастыру, ақпаратты өңдеу құралдарымен байланысты активтердің үздіксіз жұмысын қамтамасыз ету жөніндегі қағидалар;</w:t>
            </w:r>
          </w:p>
          <w:p>
            <w:pPr>
              <w:spacing w:after="20"/>
              <w:ind w:left="20"/>
              <w:jc w:val="both"/>
            </w:pPr>
            <w:r>
              <w:rPr>
                <w:rFonts w:ascii="Times New Roman"/>
                <w:b w:val="false"/>
                <w:i w:val="false"/>
                <w:color w:val="000000"/>
                <w:sz w:val="20"/>
              </w:rPr>
              <w:t>
3. Үшінші деңгейдегі құжаттар киберқауіпсіздікті қамтамасыз ету процестері мен рәсімдерінің сипаттамаларын қамтиды, оның ішінде:</w:t>
            </w:r>
          </w:p>
          <w:p>
            <w:pPr>
              <w:spacing w:after="20"/>
              <w:ind w:left="20"/>
              <w:jc w:val="both"/>
            </w:pPr>
            <w:r>
              <w:rPr>
                <w:rFonts w:ascii="Times New Roman"/>
                <w:b w:val="false"/>
                <w:i w:val="false"/>
                <w:color w:val="000000"/>
                <w:sz w:val="20"/>
              </w:rPr>
              <w:t>
1) киберқауіпсіздік қатерлері (тәуекелдері) каталогы;</w:t>
            </w:r>
          </w:p>
          <w:p>
            <w:pPr>
              <w:spacing w:after="20"/>
              <w:ind w:left="20"/>
              <w:jc w:val="both"/>
            </w:pPr>
            <w:r>
              <w:rPr>
                <w:rFonts w:ascii="Times New Roman"/>
                <w:b w:val="false"/>
                <w:i w:val="false"/>
                <w:color w:val="000000"/>
                <w:sz w:val="20"/>
              </w:rPr>
              <w:t>
2) киберқауіпсіздік қатерлерін (тәуекелдерін) өңдеу жоспары;</w:t>
            </w:r>
          </w:p>
          <w:p>
            <w:pPr>
              <w:spacing w:after="20"/>
              <w:ind w:left="20"/>
              <w:jc w:val="both"/>
            </w:pPr>
            <w:r>
              <w:rPr>
                <w:rFonts w:ascii="Times New Roman"/>
                <w:b w:val="false"/>
                <w:i w:val="false"/>
                <w:color w:val="000000"/>
                <w:sz w:val="20"/>
              </w:rPr>
              <w:t xml:space="preserve">
3) ақпаратты өңдеу құралдарымен байланысты активтердің үздіксіз жұмысын және жұмыс қабілеттілігін қалпына келтіруді қамтамасыз ету бойынша іс-шаралар жоспары; </w:t>
            </w:r>
          </w:p>
          <w:p>
            <w:pPr>
              <w:spacing w:after="20"/>
              <w:ind w:left="20"/>
              <w:jc w:val="both"/>
            </w:pPr>
            <w:r>
              <w:rPr>
                <w:rFonts w:ascii="Times New Roman"/>
                <w:b w:val="false"/>
                <w:i w:val="false"/>
                <w:color w:val="000000"/>
                <w:sz w:val="20"/>
              </w:rPr>
              <w:t>
4) әкімшінің цифрлық объектісін сүйемелдеу, ақпаратты резервтік көшіру және қалпына келтіру жөніндегі басшылығы;</w:t>
            </w:r>
          </w:p>
          <w:p>
            <w:pPr>
              <w:spacing w:after="20"/>
              <w:ind w:left="20"/>
              <w:jc w:val="both"/>
            </w:pPr>
            <w:r>
              <w:rPr>
                <w:rFonts w:ascii="Times New Roman"/>
                <w:b w:val="false"/>
                <w:i w:val="false"/>
                <w:color w:val="000000"/>
                <w:sz w:val="20"/>
              </w:rPr>
              <w:t>
5) пайдаланушылардың киберқауіпсіздіктің оқыс оқиғаларына ден қою және штаттан тыс (дағдарысты) жағдайларда әрекет ету бойынша іс-қимыл тәртібі туралы нұсқаулық.</w:t>
            </w:r>
          </w:p>
          <w:p>
            <w:pPr>
              <w:spacing w:after="20"/>
              <w:ind w:left="20"/>
              <w:jc w:val="both"/>
            </w:pPr>
            <w:r>
              <w:rPr>
                <w:rFonts w:ascii="Times New Roman"/>
                <w:b w:val="false"/>
                <w:i w:val="false"/>
                <w:color w:val="000000"/>
                <w:sz w:val="20"/>
              </w:rPr>
              <w:t>
4. Төртінші деңгейдегі құжаттар тізбесі орындалған рәсімдер мен жұмыстарды тіркеу және растау үшін пайдаланылатын жұмыс нысандарын, журналдарды, өтінімдерді, хаттамаларды және басқа да құжаттарды, сонымен бірге электрондық құжаттарды қамтиды, оның ішінде:</w:t>
            </w:r>
          </w:p>
          <w:p>
            <w:pPr>
              <w:spacing w:after="20"/>
              <w:ind w:left="20"/>
              <w:jc w:val="both"/>
            </w:pPr>
            <w:r>
              <w:rPr>
                <w:rFonts w:ascii="Times New Roman"/>
                <w:b w:val="false"/>
                <w:i w:val="false"/>
                <w:color w:val="000000"/>
                <w:sz w:val="20"/>
              </w:rPr>
              <w:t>
1) киберқауіпсіздік оқыс оқиғаларын тіркеу және штаттан тыс оқиғаларды есепке алу журналы;</w:t>
            </w:r>
          </w:p>
          <w:p>
            <w:pPr>
              <w:spacing w:after="20"/>
              <w:ind w:left="20"/>
              <w:jc w:val="both"/>
            </w:pPr>
            <w:r>
              <w:rPr>
                <w:rFonts w:ascii="Times New Roman"/>
                <w:b w:val="false"/>
                <w:i w:val="false"/>
                <w:color w:val="000000"/>
                <w:sz w:val="20"/>
              </w:rPr>
              <w:t>
2) серверлік үй-жайларға кіру журналы;</w:t>
            </w:r>
          </w:p>
          <w:p>
            <w:pPr>
              <w:spacing w:after="20"/>
              <w:ind w:left="20"/>
              <w:jc w:val="both"/>
            </w:pPr>
            <w:r>
              <w:rPr>
                <w:rFonts w:ascii="Times New Roman"/>
                <w:b w:val="false"/>
                <w:i w:val="false"/>
                <w:color w:val="000000"/>
                <w:sz w:val="20"/>
              </w:rPr>
              <w:t>
3) желілік ресурстардың осалдықтарын бағалауды жүргізу туралы есеп;</w:t>
            </w:r>
          </w:p>
          <w:p>
            <w:pPr>
              <w:spacing w:after="20"/>
              <w:ind w:left="20"/>
              <w:jc w:val="both"/>
            </w:pPr>
            <w:r>
              <w:rPr>
                <w:rFonts w:ascii="Times New Roman"/>
                <w:b w:val="false"/>
                <w:i w:val="false"/>
                <w:color w:val="000000"/>
                <w:sz w:val="20"/>
              </w:rPr>
              <w:t>
4) кабельдік қосылуларды есепке алу журналы;</w:t>
            </w:r>
          </w:p>
          <w:p>
            <w:pPr>
              <w:spacing w:after="20"/>
              <w:ind w:left="20"/>
              <w:jc w:val="both"/>
            </w:pPr>
            <w:r>
              <w:rPr>
                <w:rFonts w:ascii="Times New Roman"/>
                <w:b w:val="false"/>
                <w:i w:val="false"/>
                <w:color w:val="000000"/>
                <w:sz w:val="20"/>
              </w:rPr>
              <w:t>
5) резервтік көшірмелерді (резервтік көшірме, қайта қалпына келтіру), резервтік көшірмелерді тестілеуді есепке алу журналы;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факторлы аутентификацияны қолдану бойынша сыныптауышқа сәйкес, оның ішінде цифрлық сертификаттар пайдалана отырып, бірінші және екінші сыныптардың цифрлық объектілерге қол жеткізу кезінде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нұсқаулықтарға киберқауіпсіздікті қамтамасыз ету бойынша функционалдық міндеттерді енгізу жөніндегі талаптарды және МО, ЖАО немесе ұйым қызметшілерінің киберқауіпсіздікті қамтамасыз ету жөніндегі ТҚ талаптарын орындау бойынша міндеттемелерін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АКҚҚ пайдалану бойынша талаптарды сақтау:</w:t>
            </w:r>
          </w:p>
          <w:p>
            <w:pPr>
              <w:spacing w:after="20"/>
              <w:ind w:left="20"/>
              <w:jc w:val="both"/>
            </w:pPr>
            <w:r>
              <w:rPr>
                <w:rFonts w:ascii="Times New Roman"/>
                <w:b w:val="false"/>
                <w:i w:val="false"/>
                <w:color w:val="000000"/>
                <w:sz w:val="20"/>
              </w:rPr>
              <w:t>
бірінші сыныптағы цифрландыру объектілері үшін сыныптауышқа сәйкес – үшінші қауіпсіздік деңгейінің;</w:t>
            </w:r>
          </w:p>
          <w:p>
            <w:pPr>
              <w:spacing w:after="20"/>
              <w:ind w:left="20"/>
              <w:jc w:val="both"/>
            </w:pPr>
            <w:r>
              <w:rPr>
                <w:rFonts w:ascii="Times New Roman"/>
                <w:b w:val="false"/>
                <w:i w:val="false"/>
                <w:color w:val="000000"/>
                <w:sz w:val="20"/>
              </w:rPr>
              <w:t>
екінші сыныптағы цифрландыру объектілері үшін сыныптауышқа сәйкес – екінші қауіпсіздік деңгейінің;</w:t>
            </w:r>
          </w:p>
          <w:p>
            <w:pPr>
              <w:spacing w:after="20"/>
              <w:ind w:left="20"/>
              <w:jc w:val="both"/>
            </w:pPr>
            <w:r>
              <w:rPr>
                <w:rFonts w:ascii="Times New Roman"/>
                <w:b w:val="false"/>
                <w:i w:val="false"/>
                <w:color w:val="000000"/>
                <w:sz w:val="20"/>
              </w:rPr>
              <w:t>
үшінші сыныптағы цифрландыру объектілері үшін сыныптауышқа сәйкес – бірінші қауіпсіздік деңгейінің АКҚҚ (бағдарламалық және аппараттық) қолданылады.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цифрлық инфрақұрылымы объектісінің меншік иесі немесе иегері, сондай-ақ "цифрлық үкімет" операторы "цифрлық үкіметтің" цифрлық инфрақұрылымы объектілерінде қамтылған мемлекеттік цифрлық ресурстарды (бұдан әрі-ЦР) сақтау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Мазмұнды (контентті) басқару жүйелерін қолдану бойынша ЦР киберқауіпсіздікті қамтамасыз ету үшін талаптарды сақтау:</w:t>
            </w:r>
          </w:p>
          <w:p>
            <w:pPr>
              <w:spacing w:after="20"/>
              <w:ind w:left="20"/>
              <w:jc w:val="both"/>
            </w:pPr>
            <w:r>
              <w:rPr>
                <w:rFonts w:ascii="Times New Roman"/>
                <w:b w:val="false"/>
                <w:i w:val="false"/>
                <w:color w:val="000000"/>
                <w:sz w:val="20"/>
              </w:rPr>
              <w:t>
ЦР-ды орналастыру, өзгерту және жою операцияларына санкция беру;</w:t>
            </w:r>
          </w:p>
          <w:p>
            <w:pPr>
              <w:spacing w:after="20"/>
              <w:ind w:left="20"/>
              <w:jc w:val="both"/>
            </w:pPr>
            <w:r>
              <w:rPr>
                <w:rFonts w:ascii="Times New Roman"/>
                <w:b w:val="false"/>
                <w:i w:val="false"/>
                <w:color w:val="000000"/>
                <w:sz w:val="20"/>
              </w:rPr>
              <w:t>
ЦР-ды орналастыру, өзгерту және жою кезінде авторлықты тіркеу;</w:t>
            </w:r>
          </w:p>
          <w:p>
            <w:pPr>
              <w:spacing w:after="20"/>
              <w:ind w:left="20"/>
              <w:jc w:val="both"/>
            </w:pPr>
            <w:r>
              <w:rPr>
                <w:rFonts w:ascii="Times New Roman"/>
                <w:b w:val="false"/>
                <w:i w:val="false"/>
                <w:color w:val="000000"/>
                <w:sz w:val="20"/>
              </w:rPr>
              <w:t>
жүктелетін ЦР-ды зиянды кодқа тексеру;</w:t>
            </w:r>
          </w:p>
          <w:p>
            <w:pPr>
              <w:spacing w:after="20"/>
              <w:ind w:left="20"/>
              <w:jc w:val="both"/>
            </w:pPr>
            <w:r>
              <w:rPr>
                <w:rFonts w:ascii="Times New Roman"/>
                <w:b w:val="false"/>
                <w:i w:val="false"/>
                <w:color w:val="000000"/>
                <w:sz w:val="20"/>
              </w:rPr>
              <w:t>
орындалатын код пен сценарийлердің қауіпсіздік аудиті;</w:t>
            </w:r>
          </w:p>
          <w:p>
            <w:pPr>
              <w:spacing w:after="20"/>
              <w:ind w:left="20"/>
              <w:jc w:val="both"/>
            </w:pPr>
            <w:r>
              <w:rPr>
                <w:rFonts w:ascii="Times New Roman"/>
                <w:b w:val="false"/>
                <w:i w:val="false"/>
                <w:color w:val="000000"/>
                <w:sz w:val="20"/>
              </w:rPr>
              <w:t>
орналастырылған ЦР тұтастығын бақылау;</w:t>
            </w:r>
          </w:p>
          <w:p>
            <w:pPr>
              <w:spacing w:after="20"/>
              <w:ind w:left="20"/>
              <w:jc w:val="both"/>
            </w:pPr>
            <w:r>
              <w:rPr>
                <w:rFonts w:ascii="Times New Roman"/>
                <w:b w:val="false"/>
                <w:i w:val="false"/>
                <w:color w:val="000000"/>
                <w:sz w:val="20"/>
              </w:rPr>
              <w:t>
ЦР өзгерістер журналын жүргізу;</w:t>
            </w:r>
          </w:p>
          <w:p>
            <w:pPr>
              <w:spacing w:after="20"/>
              <w:ind w:left="20"/>
              <w:jc w:val="both"/>
            </w:pPr>
            <w:r>
              <w:rPr>
                <w:rFonts w:ascii="Times New Roman"/>
                <w:b w:val="false"/>
                <w:i w:val="false"/>
                <w:color w:val="000000"/>
                <w:sz w:val="20"/>
              </w:rPr>
              <w:t>
пайдаланушылардың және бағдарламалық роботтардың қалыптан тыс белсенділігін мониторингтеу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Домендік аттың төлнұсқалылығын тексеру және ЦР киберқауіпсіздікті қамтамасыз ету кезінде ақпаратты криптографиялық қорғау құралдарын пайдалана отырып, байланыс сеансындағы ақпаратты криптографиялық қорғау үшін тіркеу куәліктерін қолдану бойынша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Елеулі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Виртуалдау технологиясын пайдалану кезінде сәйкестендіруді басқару бойынша талаптарды сақтау:</w:t>
            </w:r>
          </w:p>
          <w:p>
            <w:pPr>
              <w:spacing w:after="20"/>
              <w:ind w:left="20"/>
              <w:jc w:val="both"/>
            </w:pPr>
            <w:r>
              <w:rPr>
                <w:rFonts w:ascii="Times New Roman"/>
                <w:b w:val="false"/>
                <w:i w:val="false"/>
                <w:color w:val="000000"/>
                <w:sz w:val="20"/>
              </w:rPr>
              <w:t>
Көрсетілетін цифрлық қызметтерінің клиенттерін және ерекшеленген пайдаланушыларды аутентификациялауды;</w:t>
            </w:r>
          </w:p>
          <w:p>
            <w:pPr>
              <w:spacing w:after="20"/>
              <w:ind w:left="20"/>
              <w:jc w:val="both"/>
            </w:pPr>
            <w:r>
              <w:rPr>
                <w:rFonts w:ascii="Times New Roman"/>
                <w:b w:val="false"/>
                <w:i w:val="false"/>
                <w:color w:val="000000"/>
                <w:sz w:val="20"/>
              </w:rPr>
              <w:t>
пайдаланушыларды бір технологиялық платформа шегінде федеративтік сәйкестендіруді;</w:t>
            </w:r>
          </w:p>
          <w:p>
            <w:pPr>
              <w:spacing w:after="20"/>
              <w:ind w:left="20"/>
              <w:jc w:val="both"/>
            </w:pPr>
            <w:r>
              <w:rPr>
                <w:rFonts w:ascii="Times New Roman"/>
                <w:b w:val="false"/>
                <w:i w:val="false"/>
                <w:color w:val="000000"/>
                <w:sz w:val="20"/>
              </w:rPr>
              <w:t>
пайдаланушыны сәйкестендіргішті жойғаннан кейін аутентификация туралы ақпаратты сақтауды;</w:t>
            </w:r>
          </w:p>
          <w:p>
            <w:pPr>
              <w:spacing w:after="20"/>
              <w:ind w:left="20"/>
              <w:jc w:val="both"/>
            </w:pPr>
            <w:r>
              <w:rPr>
                <w:rFonts w:ascii="Times New Roman"/>
                <w:b w:val="false"/>
                <w:i w:val="false"/>
                <w:color w:val="000000"/>
                <w:sz w:val="20"/>
              </w:rPr>
              <w:t>
пайдаланушы өкілеттерінің бейіндерін тағайындау рәсімдерін бақылау құралдарын қолдануды талап ететін сәйкестендіруді басқару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Виртуалдау технологиясын пайдалану кезінде киберқауіпсіздіктің оқиғаларына аудит жүргізу бойынша талаптарды сақтау:</w:t>
            </w:r>
          </w:p>
          <w:p>
            <w:pPr>
              <w:spacing w:after="20"/>
              <w:ind w:left="20"/>
              <w:jc w:val="both"/>
            </w:pPr>
            <w:r>
              <w:rPr>
                <w:rFonts w:ascii="Times New Roman"/>
                <w:b w:val="false"/>
                <w:i w:val="false"/>
                <w:color w:val="000000"/>
                <w:sz w:val="20"/>
              </w:rPr>
              <w:t>
киберқауіпсіздік ТҚ-да айқындалатын рәсімдердің міндеттілігі мен тұрақтылығын;</w:t>
            </w:r>
          </w:p>
          <w:p>
            <w:pPr>
              <w:spacing w:after="20"/>
              <w:ind w:left="20"/>
              <w:jc w:val="both"/>
            </w:pPr>
            <w:r>
              <w:rPr>
                <w:rFonts w:ascii="Times New Roman"/>
                <w:b w:val="false"/>
                <w:i w:val="false"/>
                <w:color w:val="000000"/>
                <w:sz w:val="20"/>
              </w:rPr>
              <w:t>
барлық операциялық жүйелерге, клиенттік виртуалды машиналарға, желілік компоненттердің инфрақұрылымына арналған аудит рәсімдерін жүргізуді;</w:t>
            </w:r>
          </w:p>
          <w:p>
            <w:pPr>
              <w:spacing w:after="20"/>
              <w:ind w:left="20"/>
              <w:jc w:val="both"/>
            </w:pPr>
            <w:r>
              <w:rPr>
                <w:rFonts w:ascii="Times New Roman"/>
                <w:b w:val="false"/>
                <w:i w:val="false"/>
                <w:color w:val="000000"/>
                <w:sz w:val="20"/>
              </w:rPr>
              <w:t>
оқиғаларды тіркеу журналын жүргізуді және әкімшіге қолжетімсіз сақтау жүйесінде сақтауды;</w:t>
            </w:r>
          </w:p>
          <w:p>
            <w:pPr>
              <w:spacing w:after="20"/>
              <w:ind w:left="20"/>
              <w:jc w:val="both"/>
            </w:pPr>
            <w:r>
              <w:rPr>
                <w:rFonts w:ascii="Times New Roman"/>
                <w:b w:val="false"/>
                <w:i w:val="false"/>
                <w:color w:val="000000"/>
                <w:sz w:val="20"/>
              </w:rPr>
              <w:t>
оқиғаларды тіркеу журналын жүргізу жүйесі жұмысының дұрыстығын тексеруді;</w:t>
            </w:r>
          </w:p>
          <w:p>
            <w:pPr>
              <w:spacing w:after="20"/>
              <w:ind w:left="20"/>
              <w:jc w:val="both"/>
            </w:pPr>
            <w:r>
              <w:rPr>
                <w:rFonts w:ascii="Times New Roman"/>
                <w:b w:val="false"/>
                <w:i w:val="false"/>
                <w:color w:val="000000"/>
                <w:sz w:val="20"/>
              </w:rPr>
              <w:t>
оқиғаларды тіркеу журналдарын киберқауіпсіздікті қамтамасыз ету жөніндегі ТҚ-да сақтау ұзақтығын айқындауды талап ететін киберқауіпсіздік оқиғалары аудитін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Виртуалдау технологиясын пайдалану кезінде киберқауіпсіздік оқиғаларын тіркеу талаптарын сақтау:</w:t>
            </w:r>
          </w:p>
          <w:p>
            <w:pPr>
              <w:spacing w:after="20"/>
              <w:ind w:left="20"/>
              <w:jc w:val="both"/>
            </w:pPr>
            <w:r>
              <w:rPr>
                <w:rFonts w:ascii="Times New Roman"/>
                <w:b w:val="false"/>
                <w:i w:val="false"/>
                <w:color w:val="000000"/>
                <w:sz w:val="20"/>
              </w:rPr>
              <w:t>
әкімшілердің іс-қимылын журналға енгізуді;</w:t>
            </w:r>
          </w:p>
          <w:p>
            <w:pPr>
              <w:spacing w:after="20"/>
              <w:ind w:left="20"/>
              <w:jc w:val="both"/>
            </w:pPr>
            <w:r>
              <w:rPr>
                <w:rFonts w:ascii="Times New Roman"/>
                <w:b w:val="false"/>
                <w:i w:val="false"/>
                <w:color w:val="000000"/>
                <w:sz w:val="20"/>
              </w:rPr>
              <w:t>
киберқауіпсіздік оқыс оқиғалары мен оқиғалар мониторингі жүйесін қолдануды;</w:t>
            </w:r>
          </w:p>
          <w:p>
            <w:pPr>
              <w:spacing w:after="20"/>
              <w:ind w:left="20"/>
              <w:jc w:val="both"/>
            </w:pPr>
            <w:r>
              <w:rPr>
                <w:rFonts w:ascii="Times New Roman"/>
                <w:b w:val="false"/>
                <w:i w:val="false"/>
                <w:color w:val="000000"/>
                <w:sz w:val="20"/>
              </w:rPr>
              <w:t>
сыни оқиғаны немесе киберқауіпсіздік оқыс оқиғаларын автоматты тану негізінде хабарландыруды талап ететін киберқауіпсіздік оқиғаларын тіркеу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және жүйелік әкімшілендіру рәсімдерін орындау бойынша талаптарды сақтау:</w:t>
            </w:r>
          </w:p>
          <w:p>
            <w:pPr>
              <w:spacing w:after="20"/>
              <w:ind w:left="20"/>
              <w:jc w:val="both"/>
            </w:pPr>
            <w:r>
              <w:rPr>
                <w:rFonts w:ascii="Times New Roman"/>
                <w:b w:val="false"/>
                <w:i w:val="false"/>
                <w:color w:val="000000"/>
                <w:sz w:val="20"/>
              </w:rPr>
              <w:t>
виртуалды машиналар кескіндерінің сақталуын, операциялық жүйенің, қосымшалардың, желілік конфигурацияның, МО немесе ұйымның бағдарламалық қамтылымдарын (бұдан әрі -БҚ) және деректерінің зиянды қолтаңбалардың болуын бақылауды қамтамасыз ету;</w:t>
            </w:r>
          </w:p>
          <w:p>
            <w:pPr>
              <w:spacing w:after="20"/>
              <w:ind w:left="20"/>
              <w:jc w:val="both"/>
            </w:pPr>
            <w:r>
              <w:rPr>
                <w:rFonts w:ascii="Times New Roman"/>
                <w:b w:val="false"/>
                <w:i w:val="false"/>
                <w:color w:val="000000"/>
                <w:sz w:val="20"/>
              </w:rPr>
              <w:t>
сыртқы пайдаланушылардың аппараттық бөлікке кіруін болдырмау мақсатында аппараттық платформаны виртуалды машинаның операциялық жүйесінен бөлу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көшіру жүйесімен деректерді сақтау жүйесін қамтамасыз ету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желілерді біріктіретін бөлінген байланыс арнасын ұйымдастыру кезінде ақпаратты қорғаудың бағдарламалық-техникалық құралдарын, оның ішінде криптографиялық шифрлауды АКҚҚ пайдалана отырып қолдану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 орналасқан немесе экрандалған ішкі желіні қолдана отырып ұйымдастырылған Қазақстан Республикасының мекемелері үшін АКҚҚ пайдалана отырып ұйымдастырылған байланыс арналарын қоспағанда, ішкі контурдың жергілікті желісі (бұдан әрі- ЖЖ) және сыртқы контурдың ЖЖ бір-бірімен ұштасуын болдырмау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электрондық поштаны, жедел хабарламалар қызметін және өзге де сервистерді МО, ЖАО қызметшілерінің және мемлекеттік заңды тұлғалардың, квазимемлекеттік сектор субъектілерінің, сондай-ақ аса маңызды цифрлық объектілер иелерінің: олар қызметтік міндеттерін атқарған кезде электрондық нысандағы жедел ақпарат алмасуды (қызметтік хат алмасуды) жүзеге асыру үшін, егер уәкілетті орган өзгеше белгілемесе, Қазақстан Республикасының аумағында нақты орналасқан электрондық поштаны, жедел хабар алмасу қызметін және өзге де сервистерді, басқару орталықтары мен серверлерді пайдалану жөніндегі талаптарды сақтауы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желілердің белсенді жабдықтары үшін үздіксіз электрмен жабдықтаудың болуы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желінің кабельдік жүйесінің пайдаланылмайтын порттарын белсенді жабдықтан физикалық ажырату бойынша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Желіаралық экрандауды пайдалану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Серверлік үй-жай бойынша келісі талаптарды сақтау:</w:t>
            </w:r>
          </w:p>
          <w:p>
            <w:pPr>
              <w:spacing w:after="20"/>
              <w:ind w:left="20"/>
              <w:jc w:val="both"/>
            </w:pPr>
            <w:r>
              <w:rPr>
                <w:rFonts w:ascii="Times New Roman"/>
                <w:b w:val="false"/>
                <w:i w:val="false"/>
                <w:color w:val="000000"/>
                <w:sz w:val="20"/>
              </w:rPr>
              <w:t>
1) Серверлік үй-жайда орнатылған жабдықты техникалық сүйемелдеу кезіне құжаттаманың болуы: жабдыққа қызмет көрсету; аппараттық-бағдарламалық қамтылымның жұмысында пайда болатын проблемаларды жою; кідірулер мен істен шығу фактілері, сондай-ақ қалпына келтіру жұмыстарының нәтижелері; өте маңызды жабдыққа кепілдікті қызмет көрсету мерзімі аяқталған соң кепілдікті мерзімнен кейінгі қызмет көрсету құжатталады.</w:t>
            </w:r>
          </w:p>
          <w:p>
            <w:pPr>
              <w:spacing w:after="20"/>
              <w:ind w:left="20"/>
              <w:jc w:val="both"/>
            </w:pPr>
            <w:r>
              <w:rPr>
                <w:rFonts w:ascii="Times New Roman"/>
                <w:b w:val="false"/>
                <w:i w:val="false"/>
                <w:color w:val="000000"/>
                <w:sz w:val="20"/>
              </w:rPr>
              <w:t>
2) Санкцияланған кіруді және санкцияланған шығуды қамтамасыз ететін кіруді бақылау және басқару жуйесінің болуы;</w:t>
            </w:r>
          </w:p>
          <w:p>
            <w:pPr>
              <w:spacing w:after="20"/>
              <w:ind w:left="20"/>
              <w:jc w:val="both"/>
            </w:pPr>
            <w:r>
              <w:rPr>
                <w:rFonts w:ascii="Times New Roman"/>
                <w:b w:val="false"/>
                <w:i w:val="false"/>
                <w:color w:val="000000"/>
                <w:sz w:val="20"/>
              </w:rPr>
              <w:t>
3) Цифрлық инфрақұрылым объектілерін сүйемелдеуді жүзеге асыру үшін уәкілетті тұлғалар тізімінің өзекті күйінде болуы;</w:t>
            </w:r>
          </w:p>
          <w:p>
            <w:pPr>
              <w:spacing w:after="20"/>
              <w:ind w:left="20"/>
              <w:jc w:val="both"/>
            </w:pPr>
            <w:r>
              <w:rPr>
                <w:rFonts w:ascii="Times New Roman"/>
                <w:b w:val="false"/>
                <w:i w:val="false"/>
                <w:color w:val="000000"/>
                <w:sz w:val="20"/>
              </w:rPr>
              <w:t>
4) Жабдықты техникалық сүйемелдеу кезінде құжаттаудың болуы;</w:t>
            </w:r>
          </w:p>
          <w:p>
            <w:pPr>
              <w:spacing w:after="20"/>
              <w:ind w:left="20"/>
              <w:jc w:val="both"/>
            </w:pPr>
            <w:r>
              <w:rPr>
                <w:rFonts w:ascii="Times New Roman"/>
                <w:b w:val="false"/>
                <w:i w:val="false"/>
                <w:color w:val="000000"/>
                <w:sz w:val="20"/>
              </w:rPr>
              <w:t>
5) Күзет дабылы жүйесінің болуы;</w:t>
            </w:r>
          </w:p>
          <w:p>
            <w:pPr>
              <w:spacing w:after="20"/>
              <w:ind w:left="20"/>
              <w:jc w:val="both"/>
            </w:pPr>
            <w:r>
              <w:rPr>
                <w:rFonts w:ascii="Times New Roman"/>
                <w:b w:val="false"/>
                <w:i w:val="false"/>
                <w:color w:val="000000"/>
                <w:sz w:val="20"/>
              </w:rPr>
              <w:t>
6) Бейнебақылау жүйесінің болуы;</w:t>
            </w:r>
          </w:p>
          <w:p>
            <w:pPr>
              <w:spacing w:after="20"/>
              <w:ind w:left="20"/>
              <w:jc w:val="both"/>
            </w:pPr>
            <w:r>
              <w:rPr>
                <w:rFonts w:ascii="Times New Roman"/>
                <w:b w:val="false"/>
                <w:i w:val="false"/>
                <w:color w:val="000000"/>
                <w:sz w:val="20"/>
              </w:rPr>
              <w:t>
7) Өрт дабылы жүйесінің болуы;</w:t>
            </w:r>
          </w:p>
          <w:p>
            <w:pPr>
              <w:spacing w:after="20"/>
              <w:ind w:left="20"/>
              <w:jc w:val="both"/>
            </w:pPr>
            <w:r>
              <w:rPr>
                <w:rFonts w:ascii="Times New Roman"/>
                <w:b w:val="false"/>
                <w:i w:val="false"/>
                <w:color w:val="000000"/>
                <w:sz w:val="20"/>
              </w:rPr>
              <w:t>
8) Өрт сөндіру жүйесінің болуы;</w:t>
            </w:r>
          </w:p>
          <w:p>
            <w:pPr>
              <w:spacing w:after="20"/>
              <w:ind w:left="20"/>
              <w:jc w:val="both"/>
            </w:pPr>
            <w:r>
              <w:rPr>
                <w:rFonts w:ascii="Times New Roman"/>
                <w:b w:val="false"/>
                <w:i w:val="false"/>
                <w:color w:val="000000"/>
                <w:sz w:val="20"/>
              </w:rPr>
              <w:t>
9) Кепілдендірілген электрмен жабдықтау жүйесінің болуы;</w:t>
            </w:r>
          </w:p>
          <w:p>
            <w:pPr>
              <w:spacing w:after="20"/>
              <w:ind w:left="20"/>
              <w:jc w:val="both"/>
            </w:pPr>
            <w:r>
              <w:rPr>
                <w:rFonts w:ascii="Times New Roman"/>
                <w:b w:val="false"/>
                <w:i w:val="false"/>
                <w:color w:val="000000"/>
                <w:sz w:val="20"/>
              </w:rPr>
              <w:t>
10) Жерге тұйықтау жүйесінің болуы;</w:t>
            </w:r>
          </w:p>
          <w:p>
            <w:pPr>
              <w:spacing w:after="20"/>
              <w:ind w:left="20"/>
              <w:jc w:val="both"/>
            </w:pPr>
            <w:r>
              <w:rPr>
                <w:rFonts w:ascii="Times New Roman"/>
                <w:b w:val="false"/>
                <w:i w:val="false"/>
                <w:color w:val="000000"/>
                <w:sz w:val="20"/>
              </w:rPr>
              <w:t>
11) Серверлік жабдықтың конфигурациясын тексере отырып, оны тұрақты негізде түгендеу жүргізу жөніндегі талаптарды сақтау;</w:t>
            </w:r>
          </w:p>
          <w:p>
            <w:pPr>
              <w:spacing w:after="20"/>
              <w:ind w:left="20"/>
              <w:jc w:val="both"/>
            </w:pPr>
            <w:r>
              <w:rPr>
                <w:rFonts w:ascii="Times New Roman"/>
                <w:b w:val="false"/>
                <w:i w:val="false"/>
                <w:color w:val="000000"/>
                <w:sz w:val="20"/>
              </w:rPr>
              <w:t>
12) Серверлік үй-жайда аппараттық-бағдарламалық кешен серверлік жабдығын және деректерді сақтау жүйесін орналастыру жөніндегі талаптарды сақтау;</w:t>
            </w:r>
          </w:p>
          <w:p>
            <w:pPr>
              <w:spacing w:after="20"/>
              <w:ind w:left="20"/>
              <w:jc w:val="both"/>
            </w:pPr>
            <w:r>
              <w:rPr>
                <w:rFonts w:ascii="Times New Roman"/>
                <w:b w:val="false"/>
                <w:i w:val="false"/>
                <w:color w:val="000000"/>
                <w:sz w:val="20"/>
              </w:rPr>
              <w:t>
13) Серверлік үй-жай өте алмайтын, терезе ойықтары жоқ бөлек үй-жайларда орналастыру. Терезе ойықтары болған жағдайда, олар жабылады немесе жанбайтын материалдармен бекітіледі. Қабырға, төбе мен еден сырттары үшін шаң шығармайтын және жинамайтын материалдар пайдаланылу. Еден жабыны үшін антистатикалық қасиеті бар материалдар пайдаланылады;</w:t>
            </w:r>
          </w:p>
          <w:p>
            <w:pPr>
              <w:spacing w:after="20"/>
              <w:ind w:left="20"/>
              <w:jc w:val="both"/>
            </w:pPr>
            <w:r>
              <w:rPr>
                <w:rFonts w:ascii="Times New Roman"/>
                <w:b w:val="false"/>
                <w:i w:val="false"/>
                <w:color w:val="000000"/>
                <w:sz w:val="20"/>
              </w:rPr>
              <w:t>
14) Серверлік үй-жай кабельдік жүйелер мен инженерлік коммуникацияларды орналастыруға арналған фальшеденмен және (немесе) фальштөбемен жабдықталудың болуы;</w:t>
            </w:r>
          </w:p>
          <w:p>
            <w:pPr>
              <w:spacing w:after="20"/>
              <w:ind w:left="20"/>
              <w:jc w:val="both"/>
            </w:pPr>
            <w:r>
              <w:rPr>
                <w:rFonts w:ascii="Times New Roman"/>
                <w:b w:val="false"/>
                <w:i w:val="false"/>
                <w:color w:val="000000"/>
                <w:sz w:val="20"/>
              </w:rPr>
              <w:t>
15) Кез келген транзиттік коммуникациялардан өту бойынша алып тастау жөніндегі талаптарды сақтау;</w:t>
            </w:r>
          </w:p>
          <w:p>
            <w:pPr>
              <w:spacing w:after="20"/>
              <w:ind w:left="20"/>
              <w:jc w:val="both"/>
            </w:pPr>
            <w:r>
              <w:rPr>
                <w:rFonts w:ascii="Times New Roman"/>
                <w:b w:val="false"/>
                <w:i w:val="false"/>
                <w:color w:val="000000"/>
                <w:sz w:val="20"/>
              </w:rPr>
              <w:t>
16) Негізгі және резервтік серверлік үй-жайлардың бір-бірінен шалғайдағы ғимараттарда қауіпсіз қашықтықта орналасуы бойынша талаптарды сақтау. Резервтік серверлік үй жайларға қойылатын талаптар негізгі серверлік үй жайларға қойылатын талаптармен бірдей.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Кростық үй-жай бойынша келесі талаптарды сақтау:</w:t>
            </w:r>
          </w:p>
          <w:p>
            <w:pPr>
              <w:spacing w:after="20"/>
              <w:ind w:left="20"/>
              <w:jc w:val="both"/>
            </w:pPr>
            <w:r>
              <w:rPr>
                <w:rFonts w:ascii="Times New Roman"/>
                <w:b w:val="false"/>
                <w:i w:val="false"/>
                <w:color w:val="000000"/>
                <w:sz w:val="20"/>
              </w:rPr>
              <w:t>
1) Электромагниттік кедергілердің қуатты көздерінің болмауы;</w:t>
            </w:r>
          </w:p>
          <w:p>
            <w:pPr>
              <w:spacing w:after="20"/>
              <w:ind w:left="20"/>
              <w:jc w:val="both"/>
            </w:pPr>
            <w:r>
              <w:rPr>
                <w:rFonts w:ascii="Times New Roman"/>
                <w:b w:val="false"/>
                <w:i w:val="false"/>
                <w:color w:val="000000"/>
                <w:sz w:val="20"/>
              </w:rPr>
              <w:t>
2) Сумен жабдықтау жүйесінің бұрандалары мен құбырларының болмауы;</w:t>
            </w:r>
          </w:p>
          <w:p>
            <w:pPr>
              <w:spacing w:after="20"/>
              <w:ind w:left="20"/>
              <w:jc w:val="both"/>
            </w:pPr>
            <w:r>
              <w:rPr>
                <w:rFonts w:ascii="Times New Roman"/>
                <w:b w:val="false"/>
                <w:i w:val="false"/>
                <w:color w:val="000000"/>
                <w:sz w:val="20"/>
              </w:rPr>
              <w:t>
3) Өрт қауіпсіздігі жүйесінің болуы;</w:t>
            </w:r>
          </w:p>
          <w:p>
            <w:pPr>
              <w:spacing w:after="20"/>
              <w:ind w:left="20"/>
              <w:jc w:val="both"/>
            </w:pPr>
            <w:r>
              <w:rPr>
                <w:rFonts w:ascii="Times New Roman"/>
                <w:b w:val="false"/>
                <w:i w:val="false"/>
                <w:color w:val="000000"/>
                <w:sz w:val="20"/>
              </w:rPr>
              <w:t>
4) Жеңіл жанатын материалдардың болмауы;</w:t>
            </w:r>
          </w:p>
          <w:p>
            <w:pPr>
              <w:spacing w:after="20"/>
              <w:ind w:left="20"/>
              <w:jc w:val="both"/>
            </w:pPr>
            <w:r>
              <w:rPr>
                <w:rFonts w:ascii="Times New Roman"/>
                <w:b w:val="false"/>
                <w:i w:val="false"/>
                <w:color w:val="000000"/>
                <w:sz w:val="20"/>
              </w:rPr>
              <w:t>
5) Жоба бойынша шкафты қосу үшін автоматтан бөлек жеке электр қуатталу желісінің болуы;</w:t>
            </w:r>
          </w:p>
          <w:p>
            <w:pPr>
              <w:spacing w:after="20"/>
              <w:ind w:left="20"/>
              <w:jc w:val="both"/>
            </w:pPr>
            <w:r>
              <w:rPr>
                <w:rFonts w:ascii="Times New Roman"/>
                <w:b w:val="false"/>
                <w:i w:val="false"/>
                <w:color w:val="000000"/>
                <w:sz w:val="20"/>
              </w:rPr>
              <w:t>
6) Сигнализациялық күзет жүйесінің, кіруді бақылау жүйесінің болуы;</w:t>
            </w:r>
          </w:p>
          <w:p>
            <w:pPr>
              <w:spacing w:after="20"/>
              <w:ind w:left="20"/>
              <w:jc w:val="both"/>
            </w:pPr>
            <w:r>
              <w:rPr>
                <w:rFonts w:ascii="Times New Roman"/>
                <w:b w:val="false"/>
                <w:i w:val="false"/>
                <w:color w:val="000000"/>
                <w:sz w:val="20"/>
              </w:rPr>
              <w:t>
7) Ауа баптау жүйесінің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объектілерді тәжірибелік және өнеркәсіптік пайдалану кезеңінде құралдар мен жүйелерді пайдалану талаптарын сақтау: оқиғаларды және киберқауіпсіздіктің оқыс оқиғаларын мониторингілеу және басқару; цифрлық инфрақұрылым; басып кірудің алдын алу және анықтау.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жеке жедел орталығын құру және оның жұмыс істеуін қамтамасыз ету немесе үшінші тұлғалардан киберқауіпсіздіктің жедел орталығының қызметтерін сатып алу жөніндегі талаптарды сақтау, сондай-ақ оның Ақпараттық қауіпсіздіктің ұлттық үйлестіру орталығымен өзара іс-қимылы.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KZ және (немесе). ҚАЗ домендік атауы бар интернет-ресурсты Қазақстан Республикасының аумағында орналасқан аппараттық-бағдарламалық кешенде орналастыру жөніндегі талапты сақтау.</w:t>
            </w:r>
          </w:p>
          <w:p>
            <w:pPr>
              <w:spacing w:after="20"/>
              <w:ind w:left="20"/>
              <w:jc w:val="both"/>
            </w:pPr>
            <w:r>
              <w:rPr>
                <w:rFonts w:ascii="Times New Roman"/>
                <w:b w:val="false"/>
                <w:i w:val="false"/>
                <w:color w:val="000000"/>
                <w:sz w:val="20"/>
              </w:rPr>
              <w:t>
Интернеттің қазақстандық сегментінің кеңістігінде. KZ және (немесе). ҚАЗ домендік аттарын пайдалану қауіпсіздік сертификаттарын қолдану арқылы жүзеге асырылу талаптарын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ЖАО және ұйымдар сенім білдірілген бағдарламалық қамтылым және электрондық өнеркәсіп өнімдерінің тізілімінен елдің қорғанысы мен мемлекеттің қауіпсіздігі үшін киберқауіпсіздікті қамтамасыз ету талаптарын іске асыру мақсатында тауарларды сатып алу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МО-да, ЖАО-да немесе ұйымда киберқауіпсіздіктің бұзылу оқиғаларын бақылау мақсатында талаптарды сақтау:</w:t>
            </w:r>
          </w:p>
          <w:p>
            <w:pPr>
              <w:spacing w:after="20"/>
              <w:ind w:left="20"/>
              <w:jc w:val="both"/>
            </w:pPr>
            <w:r>
              <w:rPr>
                <w:rFonts w:ascii="Times New Roman"/>
                <w:b w:val="false"/>
                <w:i w:val="false"/>
                <w:color w:val="000000"/>
                <w:sz w:val="20"/>
              </w:rPr>
              <w:t>
1) Киберқауіпсіздікті бұзуға байланысты оқиғалар мониторингі мен мониторинг нәтижелерін талдау жүргізіледі;</w:t>
            </w:r>
          </w:p>
          <w:p>
            <w:pPr>
              <w:spacing w:after="20"/>
              <w:ind w:left="20"/>
              <w:jc w:val="both"/>
            </w:pPr>
            <w:r>
              <w:rPr>
                <w:rFonts w:ascii="Times New Roman"/>
                <w:b w:val="false"/>
                <w:i w:val="false"/>
                <w:color w:val="000000"/>
                <w:sz w:val="20"/>
              </w:rPr>
              <w:t>
2) Киберқауіпсіздіктің жай-күйіне байланысты оқиғалар тіркеліп, оқиғалар журналдарын, оның ішінде:</w:t>
            </w:r>
          </w:p>
          <w:p>
            <w:pPr>
              <w:spacing w:after="20"/>
              <w:ind w:left="20"/>
              <w:jc w:val="both"/>
            </w:pPr>
            <w:r>
              <w:rPr>
                <w:rFonts w:ascii="Times New Roman"/>
                <w:b w:val="false"/>
                <w:i w:val="false"/>
                <w:color w:val="000000"/>
                <w:sz w:val="20"/>
              </w:rPr>
              <w:t>
операциялық жүйелердің оқиғалар журналдарын;</w:t>
            </w:r>
          </w:p>
          <w:p>
            <w:pPr>
              <w:spacing w:after="20"/>
              <w:ind w:left="20"/>
              <w:jc w:val="both"/>
            </w:pPr>
            <w:r>
              <w:rPr>
                <w:rFonts w:ascii="Times New Roman"/>
                <w:b w:val="false"/>
                <w:i w:val="false"/>
                <w:color w:val="000000"/>
                <w:sz w:val="20"/>
              </w:rPr>
              <w:t>
дерекқорларды басқару жүйелерінің оқиғалар журналдарын;</w:t>
            </w:r>
          </w:p>
          <w:p>
            <w:pPr>
              <w:spacing w:after="20"/>
              <w:ind w:left="20"/>
              <w:jc w:val="both"/>
            </w:pPr>
            <w:r>
              <w:rPr>
                <w:rFonts w:ascii="Times New Roman"/>
                <w:b w:val="false"/>
                <w:i w:val="false"/>
                <w:color w:val="000000"/>
                <w:sz w:val="20"/>
              </w:rPr>
              <w:t>
вирусқа қарсы қорғау оқиғаларының журналдарын;</w:t>
            </w:r>
          </w:p>
          <w:p>
            <w:pPr>
              <w:spacing w:after="20"/>
              <w:ind w:left="20"/>
              <w:jc w:val="both"/>
            </w:pPr>
            <w:r>
              <w:rPr>
                <w:rFonts w:ascii="Times New Roman"/>
                <w:b w:val="false"/>
                <w:i w:val="false"/>
                <w:color w:val="000000"/>
                <w:sz w:val="20"/>
              </w:rPr>
              <w:t>
қолданбалы БҚ оқиғалар журналдарын;</w:t>
            </w:r>
          </w:p>
          <w:p>
            <w:pPr>
              <w:spacing w:after="20"/>
              <w:ind w:left="20"/>
              <w:jc w:val="both"/>
            </w:pPr>
            <w:r>
              <w:rPr>
                <w:rFonts w:ascii="Times New Roman"/>
                <w:b w:val="false"/>
                <w:i w:val="false"/>
                <w:color w:val="000000"/>
                <w:sz w:val="20"/>
              </w:rPr>
              <w:t>
телекоммуникациялық жабдықтың оқиғалар журналдарын;</w:t>
            </w:r>
          </w:p>
          <w:p>
            <w:pPr>
              <w:spacing w:after="20"/>
              <w:ind w:left="20"/>
              <w:jc w:val="both"/>
            </w:pPr>
            <w:r>
              <w:rPr>
                <w:rFonts w:ascii="Times New Roman"/>
                <w:b w:val="false"/>
                <w:i w:val="false"/>
                <w:color w:val="000000"/>
                <w:sz w:val="20"/>
              </w:rPr>
              <w:t>
шабуылдарды анықтау және алдын алу жүйелерінің оқиғалар журналдарын;</w:t>
            </w:r>
          </w:p>
          <w:p>
            <w:pPr>
              <w:spacing w:after="20"/>
              <w:ind w:left="20"/>
              <w:jc w:val="both"/>
            </w:pPr>
            <w:r>
              <w:rPr>
                <w:rFonts w:ascii="Times New Roman"/>
                <w:b w:val="false"/>
                <w:i w:val="false"/>
                <w:color w:val="000000"/>
                <w:sz w:val="20"/>
              </w:rPr>
              <w:t>
контентті басқару жүйесі оқиғаларының журналын талдау арқылы бұзушылықтар анықталады;</w:t>
            </w:r>
          </w:p>
          <w:p>
            <w:pPr>
              <w:spacing w:after="20"/>
              <w:ind w:left="20"/>
              <w:jc w:val="both"/>
            </w:pPr>
            <w:r>
              <w:rPr>
                <w:rFonts w:ascii="Times New Roman"/>
                <w:b w:val="false"/>
                <w:i w:val="false"/>
                <w:color w:val="000000"/>
                <w:sz w:val="20"/>
              </w:rPr>
              <w:t>
3) оқиғаларды тіркеу журналдарындағы уақытты уақыт көзінің инфрақұрылымымен үйлесімді қамтамасыз ету;</w:t>
            </w:r>
          </w:p>
          <w:p>
            <w:pPr>
              <w:spacing w:after="20"/>
              <w:ind w:left="20"/>
              <w:jc w:val="both"/>
            </w:pPr>
            <w:r>
              <w:rPr>
                <w:rFonts w:ascii="Times New Roman"/>
                <w:b w:val="false"/>
                <w:i w:val="false"/>
                <w:color w:val="000000"/>
                <w:sz w:val="20"/>
              </w:rPr>
              <w:t>
4) оқиғаларды тіркеу журналдарын киберқауіпсіздікті қамтамасыз ету жөніндегі ТҚ-да көрсетілген мерзім ішінде сақтау, бірақ үш жылдан кем емес және екі айдан кем емес жедел қолжетімділікте болу;</w:t>
            </w:r>
          </w:p>
          <w:p>
            <w:pPr>
              <w:spacing w:after="20"/>
              <w:ind w:left="20"/>
              <w:jc w:val="both"/>
            </w:pPr>
            <w:r>
              <w:rPr>
                <w:rFonts w:ascii="Times New Roman"/>
                <w:b w:val="false"/>
                <w:i w:val="false"/>
                <w:color w:val="000000"/>
                <w:sz w:val="20"/>
              </w:rPr>
              <w:t>
5) оқиғаларды тіркеу журналдарын жүргізу;</w:t>
            </w:r>
          </w:p>
          <w:p>
            <w:pPr>
              <w:spacing w:after="20"/>
              <w:ind w:left="20"/>
              <w:jc w:val="both"/>
            </w:pPr>
            <w:r>
              <w:rPr>
                <w:rFonts w:ascii="Times New Roman"/>
                <w:b w:val="false"/>
                <w:i w:val="false"/>
                <w:color w:val="000000"/>
                <w:sz w:val="20"/>
              </w:rPr>
              <w:t>
6) оқиғаларды тіркеу журналдарын араласудан және рұқсатсыз кіруден қорғауды қамтамасыз ету. Жүйелік әкімшілерде журналдарды өзгертуге, жоюға және өшіруге өкілеттіктердің болуына жол бермеу. Құпия ЦЖ журналдардың резервтік қоймасын құруды және жүргізуді талап етеді;</w:t>
            </w:r>
          </w:p>
          <w:p>
            <w:pPr>
              <w:spacing w:after="20"/>
              <w:ind w:left="20"/>
              <w:jc w:val="both"/>
            </w:pPr>
            <w:r>
              <w:rPr>
                <w:rFonts w:ascii="Times New Roman"/>
                <w:b w:val="false"/>
                <w:i w:val="false"/>
                <w:color w:val="000000"/>
                <w:sz w:val="20"/>
              </w:rPr>
              <w:t>
7) Киберқауіпсіздік оқыс оқиғалары туралы хабардар етудің және киберқауіпсіздік оқыс оқиғаларына әрекет етудің формальді рәсімін енгізу қамтамасыз 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 ЦЖ, цифрлық инфрақұрылымның киберқауіпсіздігін қамтамасыз етуге бөгде ұйымдарды тартқан жағдайда олардың иесі немесе иеленушісі аталған объектілермен жұмыс істеу, оларға қол жеткізу немесе пайдалану шарттары, сондай-ақ оларды бұзғаны үшін жауапкершілігі белгіленетін келісімдерінің болуы жөніндегі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қызметкерінің еңбек шартының талаптарына өзгерістер енгізу, МО, ЖАО қызметшісін ротациялау немесе Мемлекеттік қызмет бойынша ілгерілету, оларды жұмыстан шығару кезінде физикалық және логикалық қолжетімділікті, қол жеткізу, жазылу сәйкестендіргіштерін, оны МО, ЖАО жұмыс істейтін қызметшісі немесе ұйым жұмыскері ретінде сәйкестендіретін құжаттаманы қамтитын ақпаратқа және ақпаратты өңдеу құралдарына қол жеткізу құқықтарын сақтау, жойылады.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қызметімен МО, ЖАО қызметшілерін немесе ұйым жұмыскерлерін цифрландыру және киберқауіпсіздікті қамтамасыз ету саласында оқытуын ұйымдастыру және электрондық сертификат беріле отырып, жеке іс материалдарында сақталу есебін жүргізу талаптарын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оқиғалары мониторингін және оқиғалар журналын талдау нәтижелері бойынша құпиялылығы, қолжетімділігі мен тұтастығы үшін өте қатерлі болып сәйкестендірілген қиберқаурсіздік оқиғаларын мемлекеттік техникалық қызметтің компьютерлік инциденттерге әрекет ету қызметінде тіркеу талаптарын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банктерді қоспағанда, заңмен қорғалатын құпияны қамтитын деректерді өңдейтін аса маңызды цифрлық объектілерінің иелеріне жылына кемінде бір рет киберқауіпсіздік аудитін жүргізу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Сервистік бағдарламалық өнімді өнеркәсіптік пайдалану кезінде киберқауіпсіздік талаптарына сәйкестігі тұрғысынан сынақтардың оң нәтижелері бар актінің болуы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Әзірленетін немесе сатып алынатын дайын қолданбалы БҚ пайдаланушы интерфейсін пайдаланушының тіл интерфейсін таңдау мүмкіндігімен, деректерді қазақ, орыс және қажет болған жағдайда басқа тілдерде енгізуді, өңдеу мен шығаруды қамтамасыз ету талаптарын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ЖАО немесе ұйым:</w:t>
            </w:r>
          </w:p>
          <w:p>
            <w:pPr>
              <w:spacing w:after="20"/>
              <w:ind w:left="20"/>
              <w:jc w:val="both"/>
            </w:pPr>
            <w:r>
              <w:rPr>
                <w:rFonts w:ascii="Times New Roman"/>
                <w:b w:val="false"/>
                <w:i w:val="false"/>
                <w:color w:val="000000"/>
                <w:sz w:val="20"/>
              </w:rPr>
              <w:t>
пайдаланушылар мен персоналдың іс-қимылы;</w:t>
            </w:r>
          </w:p>
          <w:p>
            <w:pPr>
              <w:spacing w:after="20"/>
              <w:ind w:left="20"/>
              <w:jc w:val="both"/>
            </w:pPr>
            <w:r>
              <w:rPr>
                <w:rFonts w:ascii="Times New Roman"/>
                <w:b w:val="false"/>
                <w:i w:val="false"/>
                <w:color w:val="000000"/>
                <w:sz w:val="20"/>
              </w:rPr>
              <w:t>
ақпаратты өңдеу құралдарын қолдану мониторингін жүзеге асырады.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Әзірленетін немесе сатып алынатын дайын қолданбалы БҚ қазақ және орыс тілдерінде пайдалану жөніндегі техникалық құжаттамамен қамтамасыз ету талаптарын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Ендірілген жүйелер серверінің жоғары қолжетімділігін қамтамасыз ету жөніндегі талаптарды сақтау: 1) резервтік желдеткіштерді, қуат көздерін, дискілерді және енгізу-шығару адаптерлерін қызу ауыстыру; 2) сыни оқиғалар туралы ескертулер; 3) сыни компоненттердің жай-күйін үздіксіз бақылауды қолдау және бақыланатын көрсеткіштерді өлшеу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ЦЖ-да, құпия ЦР-да және қолжетімділігі шектелген дербес деректерді қамтитын ЦР-да пайдаланылатын ақпаратты тасығыштарды пайдаланудан шығарған кезде ақпаратты кепілдікті жоюдың бағдарламалық және аппараттық қамтылымы қолдану жөніндегі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желінің құжат жүзіндегі схемасы болуы және оны пайдаланған кезде өзектілендірілген күйде ұсталу талабының сақталуы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ЖАО цифрлық объектілерін және аса маңызды цифрлық объектілерін қорғау үшін деректердің тарап кетуін болғызбау жүйелері (DLP) қолдану жөніндегі талаптарды сақтау.</w:t>
            </w:r>
          </w:p>
          <w:p>
            <w:pPr>
              <w:spacing w:after="20"/>
              <w:ind w:left="20"/>
              <w:jc w:val="both"/>
            </w:pPr>
            <w:r>
              <w:rPr>
                <w:rFonts w:ascii="Times New Roman"/>
                <w:b w:val="false"/>
                <w:i w:val="false"/>
                <w:color w:val="000000"/>
                <w:sz w:val="20"/>
              </w:rPr>
              <w:t>
Бұл ретте:</w:t>
            </w:r>
          </w:p>
          <w:p>
            <w:pPr>
              <w:spacing w:after="20"/>
              <w:ind w:left="20"/>
              <w:jc w:val="both"/>
            </w:pPr>
            <w:r>
              <w:rPr>
                <w:rFonts w:ascii="Times New Roman"/>
                <w:b w:val="false"/>
                <w:i w:val="false"/>
                <w:color w:val="000000"/>
                <w:sz w:val="20"/>
              </w:rPr>
              <w:t>
іс-қимылға жүргізілетін бақылау туралы пайдаланушыны визуалды түрде хабардар ету;</w:t>
            </w:r>
          </w:p>
          <w:p>
            <w:pPr>
              <w:spacing w:after="20"/>
              <w:ind w:left="20"/>
              <w:jc w:val="both"/>
            </w:pPr>
            <w:r>
              <w:rPr>
                <w:rFonts w:ascii="Times New Roman"/>
                <w:b w:val="false"/>
                <w:i w:val="false"/>
                <w:color w:val="000000"/>
                <w:sz w:val="20"/>
              </w:rPr>
              <w:t>
жергілікті желі шегінде деректердің тарап кетуін болғызбау жүйесінің басқару орталығы мен серверлерін орналастыру қамтамасыз 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МО-ның және ЖАО-ның ЦЖ-сын, оның ішінде МО-ның немесе ЖАО-ның тәжірибелік пайдалануға енгізілген ЦЖ-сымен интеграциялау талаптарын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операторы ұйымдастырған АКҚҚ пайдаланылатын мемлекеттік органдардың бірыңғай көліктік ортасының (бұдан әрі - МО БКО) сымсыз байланыс арналарын қоспағанда, МО БКО-ға, ЦС-нің жергілікті желісіне, сондай-ақ МО БКО, ЦС-нің жергілікті желісінің құрамына кіретін техникалық құралдарға сымсыз желілер арқылы қашықтан қол жеткізуді, сымсыз қолжетімділікті ұйымдастыруға арналған құралдарды, модемдерді, радиомодемдерді, ұялы байланыс операторларының желілік модемдерін, ұялы байланыстың абоненттік құрылғыларын және басқа да сымсыз желілік құрылғыларды қосуға жол берілмеу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цифрлық объектісін өнеркәсіптік пайдалануға беруді оның меншік иесі немесе иеленушісі мемлекеттік техникалық қызмет берген "цифрлық үкіметтің" цифрлық объектілерінің бастапқы кодтарынан құрастырылған орындалатын кодтарды пайдалана отырып қана жүзеге асыру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субъектінің ішкі шеңберінің ЖЖ Интернетке қосуға жол берілмеу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Интернет-ресурс иесі және (немесе) иеленушісі пайдаланушының кескін тілін таңдау мүмкіндігімен қазақ, орыс және қажет болған жағдайда басқа тілдерде көпшілікке қолжетімді Интернет-ресурстарды құруды қамтамасыз ету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 пайдалану оң аяқталған, киберқауіпсіздік талаптарына сәйкестігі тұрғысынан сынақтардың оң нәтижелері бар сынақ хаттамалары болған, цифрландыру және киберқауіпсіздікті қамтамасыз ету саласындағы уәкілетті органдардың, мүдделі МО-ның, ЖАО-ның және ұйымдардың өкілдері қатысатын қабылдау комиссиясы ЦЖ-ны өнеркәсіптік пайдалануға беру туралы актіге қол қойған жағдайда МО-ның, ЖАО-ның және ұйымдардың ЦЖ-ны өнеркәсіптік пайдалануға беру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Қорғаныс 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2019 жылғы 29 қаңтардағы</w:t>
            </w:r>
            <w:r>
              <w:br/>
            </w:r>
            <w:r>
              <w:rPr>
                <w:rFonts w:ascii="Times New Roman"/>
                <w:b w:val="false"/>
                <w:i w:val="false"/>
                <w:color w:val="000000"/>
                <w:sz w:val="20"/>
              </w:rPr>
              <w:t>№13/НҚ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w:t>
            </w:r>
            <w:r>
              <w:br/>
            </w:r>
            <w:r>
              <w:rPr>
                <w:rFonts w:ascii="Times New Roman"/>
                <w:b w:val="false"/>
                <w:i w:val="false"/>
                <w:color w:val="000000"/>
                <w:sz w:val="20"/>
              </w:rPr>
              <w:t>мминистрінің</w:t>
            </w:r>
            <w:r>
              <w:br/>
            </w:r>
            <w:r>
              <w:rPr>
                <w:rFonts w:ascii="Times New Roman"/>
                <w:b w:val="false"/>
                <w:i w:val="false"/>
                <w:color w:val="000000"/>
                <w:sz w:val="20"/>
              </w:rPr>
              <w:t>2019 жылғы 29 қаңтардағы</w:t>
            </w:r>
            <w:r>
              <w:br/>
            </w:r>
            <w:r>
              <w:rPr>
                <w:rFonts w:ascii="Times New Roman"/>
                <w:b w:val="false"/>
                <w:i w:val="false"/>
                <w:color w:val="000000"/>
                <w:sz w:val="20"/>
              </w:rPr>
              <w:t xml:space="preserve">№ 12 бірлескен </w:t>
            </w:r>
            <w:r>
              <w:br/>
            </w:r>
            <w:r>
              <w:rPr>
                <w:rFonts w:ascii="Times New Roman"/>
                <w:b w:val="false"/>
                <w:i w:val="false"/>
                <w:color w:val="000000"/>
                <w:sz w:val="20"/>
              </w:rPr>
              <w:t>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Қазақстан Республикасы Кәсіпкерлік кодексінің </w:t>
      </w:r>
      <w:r>
        <w:rPr>
          <w:rFonts w:ascii="Times New Roman"/>
          <w:b/>
          <w:i w:val="false"/>
          <w:color w:val="000000"/>
        </w:rPr>
        <w:t>138 бабына</w:t>
      </w:r>
      <w:r>
        <w:rPr>
          <w:rFonts w:ascii="Times New Roman"/>
          <w:b/>
          <w:i w:val="false"/>
          <w:color w:val="000000"/>
        </w:rPr>
        <w:t xml:space="preserve"> сәйкес квазимемлекеттік сектор субъектілеріне, мемлекеттік органдардың цифрлық жүйелерімен интеграцияланатын немесе мемлекеттік цифрлық ресурстарды қалыптастыруға арналған мемлекеттік емес цифрлық жүйелердің иелері мен иеленушілеріне, киберқауіпсіздікті қамтамасыз ету орталықтарына, сонымен қатар аса маңызды цифрлық объектілерінің иелері мен иеленушілеріне қатысты киберқауіпсіздік бөлігінде цифрландыру саласындағы тексеру парағы</w:t>
      </w:r>
    </w:p>
    <w:p>
      <w:pPr>
        <w:spacing w:after="0"/>
        <w:ind w:left="0"/>
        <w:jc w:val="both"/>
      </w:pPr>
      <w:r>
        <w:rPr>
          <w:rFonts w:ascii="Times New Roman"/>
          <w:b w:val="false"/>
          <w:i w:val="false"/>
          <w:color w:val="ff0000"/>
          <w:sz w:val="28"/>
        </w:rPr>
        <w:t xml:space="preserve">
      Ескерту. Бұйрық 4-қосымшамен толықтырылды - ҚР Жасанды интеллект және цифрлық даму министрінің м.а. 10.09.2026 </w:t>
      </w:r>
      <w:r>
        <w:rPr>
          <w:rFonts w:ascii="Times New Roman"/>
          <w:b w:val="false"/>
          <w:i w:val="false"/>
          <w:color w:val="ff0000"/>
          <w:sz w:val="28"/>
        </w:rPr>
        <w:t>№ 550/НҚ</w:t>
      </w:r>
      <w:r>
        <w:rPr>
          <w:rFonts w:ascii="Times New Roman"/>
          <w:b w:val="false"/>
          <w:i w:val="false"/>
          <w:color w:val="ff0000"/>
          <w:sz w:val="28"/>
        </w:rPr>
        <w:t xml:space="preserve"> және ҚР Премьер-Министрінің орынбасары – Ұлттық экономика министрінің 11.09.2026 № 145 (алғаш ресми жарияланған күнінен кейін он күнтізбелік күн өткен соң қолданысқа енгізіледі) бірлескен бұйрығымен.</w:t>
      </w:r>
    </w:p>
    <w:p>
      <w:pPr>
        <w:spacing w:after="0"/>
        <w:ind w:left="0"/>
        <w:jc w:val="left"/>
      </w:pP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бақылау субъектілерінің (объектілерінің) біртекті тобының атауы </w:t>
      </w:r>
    </w:p>
    <w:p>
      <w:pPr>
        <w:spacing w:after="0"/>
        <w:ind w:left="0"/>
        <w:jc w:val="both"/>
      </w:pPr>
      <w:r>
        <w:rPr>
          <w:rFonts w:ascii="Times New Roman"/>
          <w:b w:val="false"/>
          <w:i w:val="false"/>
          <w:color w:val="000000"/>
          <w:sz w:val="28"/>
        </w:rPr>
        <w:t>Тексеруді/ бақылау субъектісіне (объектісіне) бару арқылы профилактикалық</w:t>
      </w:r>
    </w:p>
    <w:p>
      <w:pPr>
        <w:spacing w:after="0"/>
        <w:ind w:left="0"/>
        <w:jc w:val="both"/>
      </w:pPr>
      <w:r>
        <w:rPr>
          <w:rFonts w:ascii="Times New Roman"/>
          <w:b w:val="false"/>
          <w:i w:val="false"/>
          <w:color w:val="000000"/>
          <w:sz w:val="28"/>
        </w:rPr>
        <w:t>бақылауды тағайындаған мемлекеттік орган</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Тексеруді/ бақылау субъектісіне (объектісіне) бару арқылы профилактикалық</w:t>
      </w:r>
    </w:p>
    <w:p>
      <w:pPr>
        <w:spacing w:after="0"/>
        <w:ind w:left="0"/>
        <w:jc w:val="both"/>
      </w:pPr>
      <w:r>
        <w:rPr>
          <w:rFonts w:ascii="Times New Roman"/>
          <w:b w:val="false"/>
          <w:i w:val="false"/>
          <w:color w:val="000000"/>
          <w:sz w:val="28"/>
        </w:rPr>
        <w:t>бақылауды тағайындау туралы акт______________________________________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Бақылау субъектісінің (объектісінің) атауы _______________________________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Бақылау субъектісінің (объектісінің) (жеке сәйкестендіру нөмірі), бизнес-</w:t>
      </w:r>
    </w:p>
    <w:p>
      <w:pPr>
        <w:spacing w:after="0"/>
        <w:ind w:left="0"/>
        <w:jc w:val="both"/>
      </w:pPr>
      <w:r>
        <w:rPr>
          <w:rFonts w:ascii="Times New Roman"/>
          <w:b w:val="false"/>
          <w:i w:val="false"/>
          <w:color w:val="000000"/>
          <w:sz w:val="28"/>
        </w:rPr>
        <w:t>сәйкестендіру нөмірі 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 </w:t>
      </w:r>
    </w:p>
    <w:p>
      <w:pPr>
        <w:spacing w:after="0"/>
        <w:ind w:left="0"/>
        <w:jc w:val="both"/>
      </w:pPr>
      <w:r>
        <w:rPr>
          <w:rFonts w:ascii="Times New Roman"/>
          <w:b w:val="false"/>
          <w:i w:val="false"/>
          <w:color w:val="000000"/>
          <w:sz w:val="28"/>
        </w:rPr>
        <w:t>Орналасқан жерінің мекенжайы __________________________________________</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Спутниктік (ғарыштық) байланыс арналарын пайдаланатын ауылдық елді мекендердің орта білім беру объектілерін және екінші деңгейдегі банктерді қоспағанда, мемлекеттік органдардың жергілікті, ведомстволық және корпоративтік телекоммуникация желілерін, жергілікті атқарушы органның (бұдан әрі-ЖАО), мемлекеттік заңды тұлғалардың, квазимемлекеттік сектор субъектілерінің, сондай-ақ аса маңызды цифрлық объектілерінің иелерін байланыс операторларының Интернетке қол жеткізудің бірыңғай шлюзі арқылы Интернетке қосуын жүзеге асыру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маңызды цифрлық объектілері иеленушілерінің Ақпараттық қауіпсіздіктің ұлттық үйлестіру орталығын киберқауіпсіздіктің оқыс оқиғалары туралы хабардар етуі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 қолдану жөніндегі талаптарды сақтау:</w:t>
            </w:r>
          </w:p>
          <w:p>
            <w:pPr>
              <w:spacing w:after="20"/>
              <w:ind w:left="20"/>
              <w:jc w:val="both"/>
            </w:pPr>
            <w:r>
              <w:rPr>
                <w:rFonts w:ascii="Times New Roman"/>
                <w:b w:val="false"/>
                <w:i w:val="false"/>
                <w:color w:val="000000"/>
                <w:sz w:val="20"/>
              </w:rPr>
              <w:t>
пайдаланушыларды сәйкестендіру, аутентификациялау және қол жеткізуді басқару;</w:t>
            </w:r>
          </w:p>
          <w:p>
            <w:pPr>
              <w:spacing w:after="20"/>
              <w:ind w:left="20"/>
              <w:jc w:val="both"/>
            </w:pPr>
            <w:r>
              <w:rPr>
                <w:rFonts w:ascii="Times New Roman"/>
                <w:b w:val="false"/>
                <w:i w:val="false"/>
                <w:color w:val="000000"/>
                <w:sz w:val="20"/>
              </w:rPr>
              <w:t>
жабдықты сәйкестендіру;</w:t>
            </w:r>
          </w:p>
          <w:p>
            <w:pPr>
              <w:spacing w:after="20"/>
              <w:ind w:left="20"/>
              <w:jc w:val="both"/>
            </w:pPr>
            <w:r>
              <w:rPr>
                <w:rFonts w:ascii="Times New Roman"/>
                <w:b w:val="false"/>
                <w:i w:val="false"/>
                <w:color w:val="000000"/>
                <w:sz w:val="20"/>
              </w:rPr>
              <w:t>
диагностикалық және конфигурациялық порттарды қорғау;</w:t>
            </w:r>
          </w:p>
          <w:p>
            <w:pPr>
              <w:spacing w:after="20"/>
              <w:ind w:left="20"/>
              <w:jc w:val="both"/>
            </w:pPr>
            <w:r>
              <w:rPr>
                <w:rFonts w:ascii="Times New Roman"/>
                <w:b w:val="false"/>
                <w:i w:val="false"/>
                <w:color w:val="000000"/>
                <w:sz w:val="20"/>
              </w:rPr>
              <w:t>
жергілікті желіні физикалық сегменттеу;</w:t>
            </w:r>
          </w:p>
          <w:p>
            <w:pPr>
              <w:spacing w:after="20"/>
              <w:ind w:left="20"/>
              <w:jc w:val="both"/>
            </w:pPr>
            <w:r>
              <w:rPr>
                <w:rFonts w:ascii="Times New Roman"/>
                <w:b w:val="false"/>
                <w:i w:val="false"/>
                <w:color w:val="000000"/>
                <w:sz w:val="20"/>
              </w:rPr>
              <w:t>
жергілікті желіні логикалық сегменттеу;</w:t>
            </w:r>
          </w:p>
          <w:p>
            <w:pPr>
              <w:spacing w:after="20"/>
              <w:ind w:left="20"/>
              <w:jc w:val="both"/>
            </w:pPr>
            <w:r>
              <w:rPr>
                <w:rFonts w:ascii="Times New Roman"/>
                <w:b w:val="false"/>
                <w:i w:val="false"/>
                <w:color w:val="000000"/>
                <w:sz w:val="20"/>
              </w:rPr>
              <w:t>
желілік қосылымдарды басқару;</w:t>
            </w:r>
          </w:p>
          <w:p>
            <w:pPr>
              <w:spacing w:after="20"/>
              <w:ind w:left="20"/>
              <w:jc w:val="both"/>
            </w:pPr>
            <w:r>
              <w:rPr>
                <w:rFonts w:ascii="Times New Roman"/>
                <w:b w:val="false"/>
                <w:i w:val="false"/>
                <w:color w:val="000000"/>
                <w:sz w:val="20"/>
              </w:rPr>
              <w:t>
брандмауэр;</w:t>
            </w:r>
          </w:p>
          <w:p>
            <w:pPr>
              <w:spacing w:after="20"/>
              <w:ind w:left="20"/>
              <w:jc w:val="both"/>
            </w:pPr>
            <w:r>
              <w:rPr>
                <w:rFonts w:ascii="Times New Roman"/>
                <w:b w:val="false"/>
                <w:i w:val="false"/>
                <w:color w:val="000000"/>
                <w:sz w:val="20"/>
              </w:rPr>
              <w:t>
жергілікті желінің ішкі мекенжай кеңістігін жасыру;</w:t>
            </w:r>
          </w:p>
          <w:p>
            <w:pPr>
              <w:spacing w:after="20"/>
              <w:ind w:left="20"/>
              <w:jc w:val="both"/>
            </w:pPr>
            <w:r>
              <w:rPr>
                <w:rFonts w:ascii="Times New Roman"/>
                <w:b w:val="false"/>
                <w:i w:val="false"/>
                <w:color w:val="000000"/>
                <w:sz w:val="20"/>
              </w:rPr>
              <w:t>
деректердің, хабарламалардың және конфигурациялардың тұтастығын бақылау;</w:t>
            </w:r>
          </w:p>
          <w:p>
            <w:pPr>
              <w:spacing w:after="20"/>
              <w:ind w:left="20"/>
              <w:jc w:val="both"/>
            </w:pPr>
            <w:r>
              <w:rPr>
                <w:rFonts w:ascii="Times New Roman"/>
                <w:b w:val="false"/>
                <w:i w:val="false"/>
                <w:color w:val="000000"/>
                <w:sz w:val="20"/>
              </w:rPr>
              <w:t>
ақпаратты криптографиялық қорғау.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Сыныптауышқа сәйкес "цифрлық үкіметтің" бірінші және екінші сыныптағы цифрлық объектілерін пайдалану кезінде Киберқауіпсіздікті қамтамасыз ету, қорғау және цифрлық объектілерді қауіпсіз жұмыс істеуін қамтамасыз ету мониторингі жүйесіне қосылу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контурдың жергілікті желілерінен интернетке қол жеткізуді ұйымдастыру кезінде интернет желісіне қосылған жұмыс станцияларында вирусқа қарсы құралдардың, операциялық жүйелердің жаңартуларының болуы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объектілерді құру, сүйемелдеу және дамыту мәселелерімен айналысатын басқа құрылымдық бөлімшелерден оқшауланған құрылымдық бөлімше болып табылатын киберқауіпсіздік бөлімшесінің болуы немесе сертификат бере отырып, киберқауіпсіздікті қамтамасыз етуге және киберқауіпсіздікті қамтамасыз ету саласында кемінде үш жылда бір рет сертификат бере отырып мамандандырылған курстардан өтуге жауапты лауазымды адамды айқындау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 (бұдан әрі – МО), ЖАО немесе ұйым өз қызметінде басшылыққа алатын құжатталған қағидалардың, рәсімдердің, практикалық тәсілдердің немесе басшылық қағидаттардың төрт деңгейлі жүйесі түрінде киберқауіпсіздікті қамтамасыз ету жөніндегі нормативтік-техникалық құжаттаманың (бұдан әрі – ТҚ) болуы және оған сәйкестігі бойынша талаптарды сақтау киберқауіпсіздікті қамтамасыз ету жөніндегі ТҚ қазақ және орыс тілдерінде әзірленеді, МО-ның, ЖАО-ның немесе ұйымның құқықтық актісімен бекітіледі және МО, ЖАО барлық қызметшілерінің немесе ұйым қызметкерлерінің назарына жеткізіледі.</w:t>
            </w:r>
          </w:p>
          <w:p>
            <w:pPr>
              <w:spacing w:after="20"/>
              <w:ind w:left="20"/>
              <w:jc w:val="both"/>
            </w:pPr>
            <w:r>
              <w:rPr>
                <w:rFonts w:ascii="Times New Roman"/>
                <w:b w:val="false"/>
                <w:i w:val="false"/>
                <w:color w:val="000000"/>
                <w:sz w:val="20"/>
              </w:rPr>
              <w:t>
Киберқауіпсіздікті қамтамасыз ету жөніндегі ТҚ ондағы ақпаратты талдау және жаңарту мақсатында кемінде екі жылда бір рет қайта қаралады.</w:t>
            </w:r>
          </w:p>
          <w:p>
            <w:pPr>
              <w:spacing w:after="20"/>
              <w:ind w:left="20"/>
              <w:jc w:val="both"/>
            </w:pPr>
            <w:r>
              <w:rPr>
                <w:rFonts w:ascii="Times New Roman"/>
                <w:b w:val="false"/>
                <w:i w:val="false"/>
                <w:color w:val="000000"/>
                <w:sz w:val="20"/>
              </w:rPr>
              <w:t>
1. МО-ның, ЖАО-ның немесе ұйымның киберқауіпсіздік саясаты бірінші деңгейдегі құжат болып табылады және МО немесе ұйым күнделікті қызметінде басшылыққа алатын киберқауіпсіздікті қамтамасыз ету саласындағы мақсаттарды, міндеттерді, басшылық қағидаттары мен практикалық тәсілдерді айқындайды.</w:t>
            </w:r>
          </w:p>
          <w:p>
            <w:pPr>
              <w:spacing w:after="20"/>
              <w:ind w:left="20"/>
              <w:jc w:val="both"/>
            </w:pPr>
            <w:r>
              <w:rPr>
                <w:rFonts w:ascii="Times New Roman"/>
                <w:b w:val="false"/>
                <w:i w:val="false"/>
                <w:color w:val="000000"/>
                <w:sz w:val="20"/>
              </w:rPr>
              <w:t>
2. Екінші деңгейдегі құжаттар тізбесіне МО-ның, ЖАО-ның немесе ұйымның киберқауіпсіздік саясатының талаптарын нақтылайтын құжаттар кіреді, оның ішінде:</w:t>
            </w:r>
          </w:p>
          <w:p>
            <w:pPr>
              <w:spacing w:after="20"/>
              <w:ind w:left="20"/>
              <w:jc w:val="both"/>
            </w:pPr>
            <w:r>
              <w:rPr>
                <w:rFonts w:ascii="Times New Roman"/>
                <w:b w:val="false"/>
                <w:i w:val="false"/>
                <w:color w:val="000000"/>
                <w:sz w:val="20"/>
              </w:rPr>
              <w:t>
1) киберқауіпсіздіктің тәуекелдерін бағалау әдістемесі;</w:t>
            </w:r>
          </w:p>
          <w:p>
            <w:pPr>
              <w:spacing w:after="20"/>
              <w:ind w:left="20"/>
              <w:jc w:val="both"/>
            </w:pPr>
            <w:r>
              <w:rPr>
                <w:rFonts w:ascii="Times New Roman"/>
                <w:b w:val="false"/>
                <w:i w:val="false"/>
                <w:color w:val="000000"/>
                <w:sz w:val="20"/>
              </w:rPr>
              <w:t>
2) ақпаратты өңдеу және оларды түгендеу құралдарымен байланысты активтерді сәйкестендіру, жіктеу және таңбалау, паспорттау қағидалары;</w:t>
            </w:r>
          </w:p>
          <w:p>
            <w:pPr>
              <w:spacing w:after="20"/>
              <w:ind w:left="20"/>
              <w:jc w:val="both"/>
            </w:pPr>
            <w:r>
              <w:rPr>
                <w:rFonts w:ascii="Times New Roman"/>
                <w:b w:val="false"/>
                <w:i w:val="false"/>
                <w:color w:val="000000"/>
                <w:sz w:val="20"/>
              </w:rPr>
              <w:t>
3) ішкі киберқауіпсіздік аудитін жүргізу қағидалары;</w:t>
            </w:r>
          </w:p>
          <w:p>
            <w:pPr>
              <w:spacing w:after="20"/>
              <w:ind w:left="20"/>
              <w:jc w:val="both"/>
            </w:pPr>
            <w:r>
              <w:rPr>
                <w:rFonts w:ascii="Times New Roman"/>
                <w:b w:val="false"/>
                <w:i w:val="false"/>
                <w:color w:val="000000"/>
                <w:sz w:val="20"/>
              </w:rPr>
              <w:t>
4) ақпаратты криптографиялық қорғау құралдарын (бұдан әрі - АКҚҚ) пайдалану тәртібі;</w:t>
            </w:r>
          </w:p>
          <w:p>
            <w:pPr>
              <w:spacing w:after="20"/>
              <w:ind w:left="20"/>
              <w:jc w:val="both"/>
            </w:pPr>
            <w:r>
              <w:rPr>
                <w:rFonts w:ascii="Times New Roman"/>
                <w:b w:val="false"/>
                <w:i w:val="false"/>
                <w:color w:val="000000"/>
                <w:sz w:val="20"/>
              </w:rPr>
              <w:t>
5) аутентификациялау рәсімін ұйымдастыру, цифрлық ресурстарға қол жеткізу құқығының аражігін ажырату қағидалары;</w:t>
            </w:r>
          </w:p>
          <w:p>
            <w:pPr>
              <w:spacing w:after="20"/>
              <w:ind w:left="20"/>
              <w:jc w:val="both"/>
            </w:pPr>
            <w:r>
              <w:rPr>
                <w:rFonts w:ascii="Times New Roman"/>
                <w:b w:val="false"/>
                <w:i w:val="false"/>
                <w:color w:val="000000"/>
                <w:sz w:val="20"/>
              </w:rPr>
              <w:t>
6) вирусқа қарсы бақылауды ұйымдастыру , мобильдік қондырғыларды және ақпаратты тасығыштарды пайдалану, интернет желісі мен электрондық поштаны пайдалану қағидалары;</w:t>
            </w:r>
          </w:p>
          <w:p>
            <w:pPr>
              <w:spacing w:after="20"/>
              <w:ind w:left="20"/>
              <w:jc w:val="both"/>
            </w:pPr>
            <w:r>
              <w:rPr>
                <w:rFonts w:ascii="Times New Roman"/>
                <w:b w:val="false"/>
                <w:i w:val="false"/>
                <w:color w:val="000000"/>
                <w:sz w:val="20"/>
              </w:rPr>
              <w:t>
7) ақпараттық ресурстардың жұмыс істеуінің физикалық қорғалуын және қауіпсіз ортасын ұйымдастыру, ақпаратты өңдеу құралдарымен байланысты активтердің үздіксіз жұмысын қамтамасыз ету жөніндегі қағидалар;</w:t>
            </w:r>
          </w:p>
          <w:p>
            <w:pPr>
              <w:spacing w:after="20"/>
              <w:ind w:left="20"/>
              <w:jc w:val="both"/>
            </w:pPr>
            <w:r>
              <w:rPr>
                <w:rFonts w:ascii="Times New Roman"/>
                <w:b w:val="false"/>
                <w:i w:val="false"/>
                <w:color w:val="000000"/>
                <w:sz w:val="20"/>
              </w:rPr>
              <w:t>
3. Үшінші деңгейдегі құжаттар киберқауіпсіздікті қамтамасыз ету процестері мен рәсімдерінің сипаттамаларын қамтиды, оның ішінде:</w:t>
            </w:r>
          </w:p>
          <w:p>
            <w:pPr>
              <w:spacing w:after="20"/>
              <w:ind w:left="20"/>
              <w:jc w:val="both"/>
            </w:pPr>
            <w:r>
              <w:rPr>
                <w:rFonts w:ascii="Times New Roman"/>
                <w:b w:val="false"/>
                <w:i w:val="false"/>
                <w:color w:val="000000"/>
                <w:sz w:val="20"/>
              </w:rPr>
              <w:t>
1) киберқауіпсіздік қатерлері (тәуекелдері) каталогы;</w:t>
            </w:r>
          </w:p>
          <w:p>
            <w:pPr>
              <w:spacing w:after="20"/>
              <w:ind w:left="20"/>
              <w:jc w:val="both"/>
            </w:pPr>
            <w:r>
              <w:rPr>
                <w:rFonts w:ascii="Times New Roman"/>
                <w:b w:val="false"/>
                <w:i w:val="false"/>
                <w:color w:val="000000"/>
                <w:sz w:val="20"/>
              </w:rPr>
              <w:t>
2) киберқауіпсіздік қатерлерін (тәуекелдерін) өңдеу жоспары;</w:t>
            </w:r>
          </w:p>
          <w:p>
            <w:pPr>
              <w:spacing w:after="20"/>
              <w:ind w:left="20"/>
              <w:jc w:val="both"/>
            </w:pPr>
            <w:r>
              <w:rPr>
                <w:rFonts w:ascii="Times New Roman"/>
                <w:b w:val="false"/>
                <w:i w:val="false"/>
                <w:color w:val="000000"/>
                <w:sz w:val="20"/>
              </w:rPr>
              <w:t xml:space="preserve">
3) ақпаратты өңдеу құралдарымен байланысты активтердің үздіксіз жұмысын және жұмыс қабілеттілігін қалпына келтіруді қамтамасыз ету бойынша іс-шаралар жоспары; </w:t>
            </w:r>
          </w:p>
          <w:p>
            <w:pPr>
              <w:spacing w:after="20"/>
              <w:ind w:left="20"/>
              <w:jc w:val="both"/>
            </w:pPr>
            <w:r>
              <w:rPr>
                <w:rFonts w:ascii="Times New Roman"/>
                <w:b w:val="false"/>
                <w:i w:val="false"/>
                <w:color w:val="000000"/>
                <w:sz w:val="20"/>
              </w:rPr>
              <w:t>
4) әкімшінің цифрлық объектісін сүйемелдеу, ақпаратты резервтік көшіру және қалпына келтіру жөніндегі басшылығы;</w:t>
            </w:r>
          </w:p>
          <w:p>
            <w:pPr>
              <w:spacing w:after="20"/>
              <w:ind w:left="20"/>
              <w:jc w:val="both"/>
            </w:pPr>
            <w:r>
              <w:rPr>
                <w:rFonts w:ascii="Times New Roman"/>
                <w:b w:val="false"/>
                <w:i w:val="false"/>
                <w:color w:val="000000"/>
                <w:sz w:val="20"/>
              </w:rPr>
              <w:t>
5) пайдаланушылардың киберқауіпсіздіктің оқыс оқиғаларына ден қою және штаттан тыс (дағдарысты) жағдайларда әрекет ету бойынша іс-қимыл тәртібі туралы нұсқаулық.</w:t>
            </w:r>
          </w:p>
          <w:p>
            <w:pPr>
              <w:spacing w:after="20"/>
              <w:ind w:left="20"/>
              <w:jc w:val="both"/>
            </w:pPr>
            <w:r>
              <w:rPr>
                <w:rFonts w:ascii="Times New Roman"/>
                <w:b w:val="false"/>
                <w:i w:val="false"/>
                <w:color w:val="000000"/>
                <w:sz w:val="20"/>
              </w:rPr>
              <w:t>
4. Төртінші деңгейдегі құжаттар тізбесі орындалған рәсімдер мен жұмыстарды тіркеу және растау үшін пайдаланылатын жұмыс нысандарын, журналдарды, өтінімдерді, хаттамаларды және басқа да құжаттарды, сонымен бірге электрондық құжаттарды қамтиды, оның ішінде:</w:t>
            </w:r>
          </w:p>
          <w:p>
            <w:pPr>
              <w:spacing w:after="20"/>
              <w:ind w:left="20"/>
              <w:jc w:val="both"/>
            </w:pPr>
            <w:r>
              <w:rPr>
                <w:rFonts w:ascii="Times New Roman"/>
                <w:b w:val="false"/>
                <w:i w:val="false"/>
                <w:color w:val="000000"/>
                <w:sz w:val="20"/>
              </w:rPr>
              <w:t>
1) киберқауіпсіздік оқыс оқиғаларын тіркеу және штаттан тыс оқиғаларды есепке алу журналы;</w:t>
            </w:r>
          </w:p>
          <w:p>
            <w:pPr>
              <w:spacing w:after="20"/>
              <w:ind w:left="20"/>
              <w:jc w:val="both"/>
            </w:pPr>
            <w:r>
              <w:rPr>
                <w:rFonts w:ascii="Times New Roman"/>
                <w:b w:val="false"/>
                <w:i w:val="false"/>
                <w:color w:val="000000"/>
                <w:sz w:val="20"/>
              </w:rPr>
              <w:t>
2) серверлік үй-жайларға кіру журналы;</w:t>
            </w:r>
          </w:p>
          <w:p>
            <w:pPr>
              <w:spacing w:after="20"/>
              <w:ind w:left="20"/>
              <w:jc w:val="both"/>
            </w:pPr>
            <w:r>
              <w:rPr>
                <w:rFonts w:ascii="Times New Roman"/>
                <w:b w:val="false"/>
                <w:i w:val="false"/>
                <w:color w:val="000000"/>
                <w:sz w:val="20"/>
              </w:rPr>
              <w:t>
3) желілік ресурстардың осалдықтарын бағалауды жүргізу туралы есеп;</w:t>
            </w:r>
          </w:p>
          <w:p>
            <w:pPr>
              <w:spacing w:after="20"/>
              <w:ind w:left="20"/>
              <w:jc w:val="both"/>
            </w:pPr>
            <w:r>
              <w:rPr>
                <w:rFonts w:ascii="Times New Roman"/>
                <w:b w:val="false"/>
                <w:i w:val="false"/>
                <w:color w:val="000000"/>
                <w:sz w:val="20"/>
              </w:rPr>
              <w:t>
4) кабельдік қосылуларды есепке алу журналы;</w:t>
            </w:r>
          </w:p>
          <w:p>
            <w:pPr>
              <w:spacing w:after="20"/>
              <w:ind w:left="20"/>
              <w:jc w:val="both"/>
            </w:pPr>
            <w:r>
              <w:rPr>
                <w:rFonts w:ascii="Times New Roman"/>
                <w:b w:val="false"/>
                <w:i w:val="false"/>
                <w:color w:val="000000"/>
                <w:sz w:val="20"/>
              </w:rPr>
              <w:t>
5) резервтік көшірмелерді (резервтік көшірме, қайта қалпына келтіру), резервтік көшірмелерді тестілеуді есепке алу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факторлы аутентификацияны қолдану бойынша сыныптауышқа сәйкес, оның ішінде цифрлық сертификаттар пайдалана отырып, бірінші және екінші сыныптардың цифрлық объектілерге қол жеткізу кезінде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нұсқаулықтарға киберқауіпсіздікті қамтамасыз ету бойынша функционалдық міндеттерді енгізу жөніндегі талаптарды және МО, ЖАО немесе ұйым қызметшілерінің киберқауіпсіздікті қамтамасыз ету жөніндегі ТҚ талаптарын орындау бойынша міндеттемелерін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АКҚҚ пайдалану бойынша талаптарды сақтау:</w:t>
            </w:r>
          </w:p>
          <w:p>
            <w:pPr>
              <w:spacing w:after="20"/>
              <w:ind w:left="20"/>
              <w:jc w:val="both"/>
            </w:pPr>
            <w:r>
              <w:rPr>
                <w:rFonts w:ascii="Times New Roman"/>
                <w:b w:val="false"/>
                <w:i w:val="false"/>
                <w:color w:val="000000"/>
                <w:sz w:val="20"/>
              </w:rPr>
              <w:t>
бірінші сыныптағы цифрландыру объектілері үшін сыныптауышқа сәйкес – үшінші қауіпсіздік деңгейінің;</w:t>
            </w:r>
          </w:p>
          <w:p>
            <w:pPr>
              <w:spacing w:after="20"/>
              <w:ind w:left="20"/>
              <w:jc w:val="both"/>
            </w:pPr>
            <w:r>
              <w:rPr>
                <w:rFonts w:ascii="Times New Roman"/>
                <w:b w:val="false"/>
                <w:i w:val="false"/>
                <w:color w:val="000000"/>
                <w:sz w:val="20"/>
              </w:rPr>
              <w:t>
екінші сыныптағы цифрландыру объектілері үшін сыныптауышқа сәйкес – екінші қауіпсіздік деңгейінің;</w:t>
            </w:r>
          </w:p>
          <w:p>
            <w:pPr>
              <w:spacing w:after="20"/>
              <w:ind w:left="20"/>
              <w:jc w:val="both"/>
            </w:pPr>
            <w:r>
              <w:rPr>
                <w:rFonts w:ascii="Times New Roman"/>
                <w:b w:val="false"/>
                <w:i w:val="false"/>
                <w:color w:val="000000"/>
                <w:sz w:val="20"/>
              </w:rPr>
              <w:t>
үшінші сыныптағы цифрландыру объектілері үшін сыныптауышқа сәйкес – бірінші қауіпсіздік деңгейінің АКҚҚ (бағдарламалық және аппараттық) қолданылады.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цифрлық инфрақұрылымы объектісінің меншік иесі немесе иегері, сондай-ақ "цифрлық үкімет" операторы "цифрлық үкіметтің" цифрлық инфрақұрылымы объектілерінде қамтылған мемлекеттік цифрлық ресурстарды (бұдан әрі-ЦР) сақтау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Мазмұнды (контентті) басқару жүйелерін қолдану бойынша ЦР киберқауіпсіздікті қамтамасыз ету үшін талаптарды сақтау:</w:t>
            </w:r>
          </w:p>
          <w:p>
            <w:pPr>
              <w:spacing w:after="20"/>
              <w:ind w:left="20"/>
              <w:jc w:val="both"/>
            </w:pPr>
            <w:r>
              <w:rPr>
                <w:rFonts w:ascii="Times New Roman"/>
                <w:b w:val="false"/>
                <w:i w:val="false"/>
                <w:color w:val="000000"/>
                <w:sz w:val="20"/>
              </w:rPr>
              <w:t>
ЦР-ды орналастыру, өзгерту және жою операцияларына санкция беру;</w:t>
            </w:r>
          </w:p>
          <w:p>
            <w:pPr>
              <w:spacing w:after="20"/>
              <w:ind w:left="20"/>
              <w:jc w:val="both"/>
            </w:pPr>
            <w:r>
              <w:rPr>
                <w:rFonts w:ascii="Times New Roman"/>
                <w:b w:val="false"/>
                <w:i w:val="false"/>
                <w:color w:val="000000"/>
                <w:sz w:val="20"/>
              </w:rPr>
              <w:t>
ЦР-ды орналастыру, өзгерту және жою кезінде авторлықты тіркеу;</w:t>
            </w:r>
          </w:p>
          <w:p>
            <w:pPr>
              <w:spacing w:after="20"/>
              <w:ind w:left="20"/>
              <w:jc w:val="both"/>
            </w:pPr>
            <w:r>
              <w:rPr>
                <w:rFonts w:ascii="Times New Roman"/>
                <w:b w:val="false"/>
                <w:i w:val="false"/>
                <w:color w:val="000000"/>
                <w:sz w:val="20"/>
              </w:rPr>
              <w:t>
жүктелетін ЦР-ды зиянды кодқа тексеру;</w:t>
            </w:r>
          </w:p>
          <w:p>
            <w:pPr>
              <w:spacing w:after="20"/>
              <w:ind w:left="20"/>
              <w:jc w:val="both"/>
            </w:pPr>
            <w:r>
              <w:rPr>
                <w:rFonts w:ascii="Times New Roman"/>
                <w:b w:val="false"/>
                <w:i w:val="false"/>
                <w:color w:val="000000"/>
                <w:sz w:val="20"/>
              </w:rPr>
              <w:t>
орындалатын код пен сценарийлердің қауіпсіздік аудиті;</w:t>
            </w:r>
          </w:p>
          <w:p>
            <w:pPr>
              <w:spacing w:after="20"/>
              <w:ind w:left="20"/>
              <w:jc w:val="both"/>
            </w:pPr>
            <w:r>
              <w:rPr>
                <w:rFonts w:ascii="Times New Roman"/>
                <w:b w:val="false"/>
                <w:i w:val="false"/>
                <w:color w:val="000000"/>
                <w:sz w:val="20"/>
              </w:rPr>
              <w:t>
орналастырылған ЦР тұтастығын бақылау;</w:t>
            </w:r>
          </w:p>
          <w:p>
            <w:pPr>
              <w:spacing w:after="20"/>
              <w:ind w:left="20"/>
              <w:jc w:val="both"/>
            </w:pPr>
            <w:r>
              <w:rPr>
                <w:rFonts w:ascii="Times New Roman"/>
                <w:b w:val="false"/>
                <w:i w:val="false"/>
                <w:color w:val="000000"/>
                <w:sz w:val="20"/>
              </w:rPr>
              <w:t>
ЦР өзгерістер журналын жүргізу;</w:t>
            </w:r>
          </w:p>
          <w:p>
            <w:pPr>
              <w:spacing w:after="20"/>
              <w:ind w:left="20"/>
              <w:jc w:val="both"/>
            </w:pPr>
            <w:r>
              <w:rPr>
                <w:rFonts w:ascii="Times New Roman"/>
                <w:b w:val="false"/>
                <w:i w:val="false"/>
                <w:color w:val="000000"/>
                <w:sz w:val="20"/>
              </w:rPr>
              <w:t>
пайдаланушылардың және бағдарламалық роботтардың қалыптан тыс белсенділігін мониторингтеу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Домендік аттың төлнұсқалылығын тексеру және ЦР киберқауіпсіздікті қамтамасыз ету кезінде ақпаратты криптографиялық қорғау құралдарын пайдалана отырып, байланыс сеансындағы ақпаратты криптографиялық қорғау үшін тіркеу куәліктерін қолдану бойынша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Виртуалдау технологиясын пайдалану кезінде сәйкестендіруді басқару бойынша талаптарды сақтау:</w:t>
            </w:r>
          </w:p>
          <w:p>
            <w:pPr>
              <w:spacing w:after="20"/>
              <w:ind w:left="20"/>
              <w:jc w:val="both"/>
            </w:pPr>
            <w:r>
              <w:rPr>
                <w:rFonts w:ascii="Times New Roman"/>
                <w:b w:val="false"/>
                <w:i w:val="false"/>
                <w:color w:val="000000"/>
                <w:sz w:val="20"/>
              </w:rPr>
              <w:t>
Көрсетілетін цифрлық қызметтерінің клиенттерін және ерекшеленген пайдаланушыларды аутентификациялауды;</w:t>
            </w:r>
          </w:p>
          <w:p>
            <w:pPr>
              <w:spacing w:after="20"/>
              <w:ind w:left="20"/>
              <w:jc w:val="both"/>
            </w:pPr>
            <w:r>
              <w:rPr>
                <w:rFonts w:ascii="Times New Roman"/>
                <w:b w:val="false"/>
                <w:i w:val="false"/>
                <w:color w:val="000000"/>
                <w:sz w:val="20"/>
              </w:rPr>
              <w:t>
пайдаланушыларды бір технологиялық платформа шегінде федеративтік сәйкестендіруді;</w:t>
            </w:r>
          </w:p>
          <w:p>
            <w:pPr>
              <w:spacing w:after="20"/>
              <w:ind w:left="20"/>
              <w:jc w:val="both"/>
            </w:pPr>
            <w:r>
              <w:rPr>
                <w:rFonts w:ascii="Times New Roman"/>
                <w:b w:val="false"/>
                <w:i w:val="false"/>
                <w:color w:val="000000"/>
                <w:sz w:val="20"/>
              </w:rPr>
              <w:t>
пайдаланушыны сәйкестендіргішті жойғаннан кейін аутентификация туралы ақпаратты сақтауды;</w:t>
            </w:r>
          </w:p>
          <w:p>
            <w:pPr>
              <w:spacing w:after="20"/>
              <w:ind w:left="20"/>
              <w:jc w:val="both"/>
            </w:pPr>
            <w:r>
              <w:rPr>
                <w:rFonts w:ascii="Times New Roman"/>
                <w:b w:val="false"/>
                <w:i w:val="false"/>
                <w:color w:val="000000"/>
                <w:sz w:val="20"/>
              </w:rPr>
              <w:t>
пайдаланушы өкілеттерінің бейіндерін тағайындау рәсімдерін бақылау құралдарын қолдануды талап ететін сәйкестендіруді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Виртуалдау технологиясын пайдалану кезінде киберқауіпсіздіктің оқиғаларына аудит жүргізу бойынша талаптарды сақтау:</w:t>
            </w:r>
          </w:p>
          <w:p>
            <w:pPr>
              <w:spacing w:after="20"/>
              <w:ind w:left="20"/>
              <w:jc w:val="both"/>
            </w:pPr>
            <w:r>
              <w:rPr>
                <w:rFonts w:ascii="Times New Roman"/>
                <w:b w:val="false"/>
                <w:i w:val="false"/>
                <w:color w:val="000000"/>
                <w:sz w:val="20"/>
              </w:rPr>
              <w:t>
киберқауіпсіздік ТҚ-да айқындалатын рәсімдердің міндеттілігі мен тұрақтылығын;</w:t>
            </w:r>
          </w:p>
          <w:p>
            <w:pPr>
              <w:spacing w:after="20"/>
              <w:ind w:left="20"/>
              <w:jc w:val="both"/>
            </w:pPr>
            <w:r>
              <w:rPr>
                <w:rFonts w:ascii="Times New Roman"/>
                <w:b w:val="false"/>
                <w:i w:val="false"/>
                <w:color w:val="000000"/>
                <w:sz w:val="20"/>
              </w:rPr>
              <w:t>
барлық операциялық жүйелерге, клиенттік виртуалды машиналарға, желілік компоненттердің инфрақұрылымына арналған аудит рәсімдерін жүргізуді;</w:t>
            </w:r>
          </w:p>
          <w:p>
            <w:pPr>
              <w:spacing w:after="20"/>
              <w:ind w:left="20"/>
              <w:jc w:val="both"/>
            </w:pPr>
            <w:r>
              <w:rPr>
                <w:rFonts w:ascii="Times New Roman"/>
                <w:b w:val="false"/>
                <w:i w:val="false"/>
                <w:color w:val="000000"/>
                <w:sz w:val="20"/>
              </w:rPr>
              <w:t>
оқиғаларды тіркеу журналын жүргізуді және әкімшіге қолжетімсіз сақтау жүйесінде сақтауды;</w:t>
            </w:r>
          </w:p>
          <w:p>
            <w:pPr>
              <w:spacing w:after="20"/>
              <w:ind w:left="20"/>
              <w:jc w:val="both"/>
            </w:pPr>
            <w:r>
              <w:rPr>
                <w:rFonts w:ascii="Times New Roman"/>
                <w:b w:val="false"/>
                <w:i w:val="false"/>
                <w:color w:val="000000"/>
                <w:sz w:val="20"/>
              </w:rPr>
              <w:t>
оқиғаларды тіркеу журналын жүргізу жүйесі жұмысының дұрыстығын тексеруді;</w:t>
            </w:r>
          </w:p>
          <w:p>
            <w:pPr>
              <w:spacing w:after="20"/>
              <w:ind w:left="20"/>
              <w:jc w:val="both"/>
            </w:pPr>
            <w:r>
              <w:rPr>
                <w:rFonts w:ascii="Times New Roman"/>
                <w:b w:val="false"/>
                <w:i w:val="false"/>
                <w:color w:val="000000"/>
                <w:sz w:val="20"/>
              </w:rPr>
              <w:t>
оқиғаларды тіркеу журналдарын киберқауіпсіздікті қамтамасыз ету жөніндегі ТҚ-да сақтау ұзақтығын айқындауды талап ететін киберқауіпсіздік оқиғалары аудитін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Виртуалдау технологиясын пайдалану кезінде киберқауіпсіздік оқиғаларын тіркеу талаптарын сақтау:</w:t>
            </w:r>
          </w:p>
          <w:p>
            <w:pPr>
              <w:spacing w:after="20"/>
              <w:ind w:left="20"/>
              <w:jc w:val="both"/>
            </w:pPr>
            <w:r>
              <w:rPr>
                <w:rFonts w:ascii="Times New Roman"/>
                <w:b w:val="false"/>
                <w:i w:val="false"/>
                <w:color w:val="000000"/>
                <w:sz w:val="20"/>
              </w:rPr>
              <w:t>
әкімшілердің іс-қимылын журналға енгізуді;</w:t>
            </w:r>
          </w:p>
          <w:p>
            <w:pPr>
              <w:spacing w:after="20"/>
              <w:ind w:left="20"/>
              <w:jc w:val="both"/>
            </w:pPr>
            <w:r>
              <w:rPr>
                <w:rFonts w:ascii="Times New Roman"/>
                <w:b w:val="false"/>
                <w:i w:val="false"/>
                <w:color w:val="000000"/>
                <w:sz w:val="20"/>
              </w:rPr>
              <w:t>
киберқауіпсіздік оқыс оқиғалары мен оқиғалар мониторингі жүйесін қолдануды;</w:t>
            </w:r>
          </w:p>
          <w:p>
            <w:pPr>
              <w:spacing w:after="20"/>
              <w:ind w:left="20"/>
              <w:jc w:val="both"/>
            </w:pPr>
            <w:r>
              <w:rPr>
                <w:rFonts w:ascii="Times New Roman"/>
                <w:b w:val="false"/>
                <w:i w:val="false"/>
                <w:color w:val="000000"/>
                <w:sz w:val="20"/>
              </w:rPr>
              <w:t>
сыни оқиғаны немесе киберқауіпсіздік оқыс оқиғаларын автоматты тану негізінде хабарландыруды талап ететін киберқауіпсіздік оқиғаларын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және жүйелік әкімшілендіру рәсімдерін орындау бойынша талаптарды сақтау:</w:t>
            </w:r>
          </w:p>
          <w:p>
            <w:pPr>
              <w:spacing w:after="20"/>
              <w:ind w:left="20"/>
              <w:jc w:val="both"/>
            </w:pPr>
            <w:r>
              <w:rPr>
                <w:rFonts w:ascii="Times New Roman"/>
                <w:b w:val="false"/>
                <w:i w:val="false"/>
                <w:color w:val="000000"/>
                <w:sz w:val="20"/>
              </w:rPr>
              <w:t>
виртуалды машиналар кескіндерінің сақталуын, операциялық жүйенің, қосымшалардың, желілік конфигурацияның, МО немесе ұйымның бағдарламалық қамтылымдарын (бұдан әрі -БҚ) және деректерінің зиянды қолтаңбалардың болуын бақылауды қамтамасыз ету;</w:t>
            </w:r>
          </w:p>
          <w:p>
            <w:pPr>
              <w:spacing w:after="20"/>
              <w:ind w:left="20"/>
              <w:jc w:val="both"/>
            </w:pPr>
            <w:r>
              <w:rPr>
                <w:rFonts w:ascii="Times New Roman"/>
                <w:b w:val="false"/>
                <w:i w:val="false"/>
                <w:color w:val="000000"/>
                <w:sz w:val="20"/>
              </w:rPr>
              <w:t>
сыртқы пайдаланушылардың аппараттық бөлікке кіруін болдырмау мақсатында аппараттық платформаны виртуалды машинаның операциялық жүйесінен бөлу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көшіру жүйесімен деректерді сақтау жүйесін қамтамасыз ету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желілерді біріктіретін бөлінген байланыс арнасын ұйымдастыру кезінде ақпаратты қорғаудың бағдарламалық-техникалық құралдарын, оның ішінде криптографиялық шифрлауды АКҚҚ пайдалана отырып қолдану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 орналасқан немесе экрандалған ішкі желіні қолдана отырып ұйымдастырылған Қазақстан Республикасының мекемелері үшін АКҚҚ пайдалана отырып ұйымдастырылған байланыс арналарын қоспағанда, ішкі контурдың жергілікті желісі (бұдан әрі- ЖЖ) және сыртқы контурдың ЖЖ бір-бірімен ұштасуын болдырмау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электрондық поштаны, жедел хабарламалар қызметін және өзге де сервистерді МО, ЖАО қызметшілерінің және мемлекеттік заңды тұлғалардың, квазимемлекеттік сектор субъектілерінің, сондай-ақ аса маңызды цифрлық объектілер иелерінің: олар қызметтік міндеттерін атқарған кезде электрондық нысандағы жедел ақпарат алмасуды (қызметтік хат алмасуды) жүзеге асыру үшін, егер уәкілетті орган өзгеше белгілемесе, Қазақстан Республикасының аумағында нақты орналасқан электрондық поштаны, жедел хабар алмасу қызметін және өзге де сервистерді, басқару орталықтары мен серверлерді пайдалану жөніндегі талаптарды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желілердің белсенді жабдықтары үшін үздіксіз электрмен жабдықтаудың болуы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желінің кабельдік жүйесінің пайдаланылмайтын порттарын белсенді жабдықтан физикалық ажырату бойынша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Желіаралық экрандауды пайдалану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Серверлік үй-жай бойынша келісі талаптарды сақтау:</w:t>
            </w:r>
          </w:p>
          <w:p>
            <w:pPr>
              <w:spacing w:after="20"/>
              <w:ind w:left="20"/>
              <w:jc w:val="both"/>
            </w:pPr>
            <w:r>
              <w:rPr>
                <w:rFonts w:ascii="Times New Roman"/>
                <w:b w:val="false"/>
                <w:i w:val="false"/>
                <w:color w:val="000000"/>
                <w:sz w:val="20"/>
              </w:rPr>
              <w:t>
1) Серверлік үй-жайда орнатылған жабдықты техникалық сүйемелдеу кезіне құжаттаманың болуы: жабдыққа қызмет көрсету; аппараттық-бағдарламалық қамтылымның жұмысында пайда болатын проблемаларды жою; кідірулер мен істен шығу фактілері, сондай-ақ қалпына келтіру жұмыстарының нәтижелері; өте маңызды жабдыққа кепілдікті қызмет көрсету мерзімі аяқталған соң кепілдікті мерзімнен кейінгі қызмет көрсету құжатталады.</w:t>
            </w:r>
          </w:p>
          <w:p>
            <w:pPr>
              <w:spacing w:after="20"/>
              <w:ind w:left="20"/>
              <w:jc w:val="both"/>
            </w:pPr>
            <w:r>
              <w:rPr>
                <w:rFonts w:ascii="Times New Roman"/>
                <w:b w:val="false"/>
                <w:i w:val="false"/>
                <w:color w:val="000000"/>
                <w:sz w:val="20"/>
              </w:rPr>
              <w:t>
2) Санкцияланған кіруді және санкцияланған шығуды қамтамасыз ететін кіруді бақылау және басқару жуйесінің болуы;</w:t>
            </w:r>
          </w:p>
          <w:p>
            <w:pPr>
              <w:spacing w:after="20"/>
              <w:ind w:left="20"/>
              <w:jc w:val="both"/>
            </w:pPr>
            <w:r>
              <w:rPr>
                <w:rFonts w:ascii="Times New Roman"/>
                <w:b w:val="false"/>
                <w:i w:val="false"/>
                <w:color w:val="000000"/>
                <w:sz w:val="20"/>
              </w:rPr>
              <w:t>
3) Цифрлық инфрақұрылым объектілерін сүйемелдеуді жүзеге асыру үшін уәкілетті тұлғалар тізімінің өзекті күйінде болуы;</w:t>
            </w:r>
          </w:p>
          <w:p>
            <w:pPr>
              <w:spacing w:after="20"/>
              <w:ind w:left="20"/>
              <w:jc w:val="both"/>
            </w:pPr>
            <w:r>
              <w:rPr>
                <w:rFonts w:ascii="Times New Roman"/>
                <w:b w:val="false"/>
                <w:i w:val="false"/>
                <w:color w:val="000000"/>
                <w:sz w:val="20"/>
              </w:rPr>
              <w:t>
4) Жабдықты техникалық сүйемелдеу кезінде құжаттаудың болуы;</w:t>
            </w:r>
          </w:p>
          <w:p>
            <w:pPr>
              <w:spacing w:after="20"/>
              <w:ind w:left="20"/>
              <w:jc w:val="both"/>
            </w:pPr>
            <w:r>
              <w:rPr>
                <w:rFonts w:ascii="Times New Roman"/>
                <w:b w:val="false"/>
                <w:i w:val="false"/>
                <w:color w:val="000000"/>
                <w:sz w:val="20"/>
              </w:rPr>
              <w:t>
5) Күзет дабылы жүйесінің болуы;</w:t>
            </w:r>
          </w:p>
          <w:p>
            <w:pPr>
              <w:spacing w:after="20"/>
              <w:ind w:left="20"/>
              <w:jc w:val="both"/>
            </w:pPr>
            <w:r>
              <w:rPr>
                <w:rFonts w:ascii="Times New Roman"/>
                <w:b w:val="false"/>
                <w:i w:val="false"/>
                <w:color w:val="000000"/>
                <w:sz w:val="20"/>
              </w:rPr>
              <w:t>
6) Бейнебақылау жүйесінің болуы;</w:t>
            </w:r>
          </w:p>
          <w:p>
            <w:pPr>
              <w:spacing w:after="20"/>
              <w:ind w:left="20"/>
              <w:jc w:val="both"/>
            </w:pPr>
            <w:r>
              <w:rPr>
                <w:rFonts w:ascii="Times New Roman"/>
                <w:b w:val="false"/>
                <w:i w:val="false"/>
                <w:color w:val="000000"/>
                <w:sz w:val="20"/>
              </w:rPr>
              <w:t>
7) Өрт дабылы жүйесінің болуы;</w:t>
            </w:r>
          </w:p>
          <w:p>
            <w:pPr>
              <w:spacing w:after="20"/>
              <w:ind w:left="20"/>
              <w:jc w:val="both"/>
            </w:pPr>
            <w:r>
              <w:rPr>
                <w:rFonts w:ascii="Times New Roman"/>
                <w:b w:val="false"/>
                <w:i w:val="false"/>
                <w:color w:val="000000"/>
                <w:sz w:val="20"/>
              </w:rPr>
              <w:t>
8) Өрт сөндіру жүйесінің болуы;</w:t>
            </w:r>
          </w:p>
          <w:p>
            <w:pPr>
              <w:spacing w:after="20"/>
              <w:ind w:left="20"/>
              <w:jc w:val="both"/>
            </w:pPr>
            <w:r>
              <w:rPr>
                <w:rFonts w:ascii="Times New Roman"/>
                <w:b w:val="false"/>
                <w:i w:val="false"/>
                <w:color w:val="000000"/>
                <w:sz w:val="20"/>
              </w:rPr>
              <w:t>
9) Кепілдендірілген электрмен жабдықтау жүйесінің болуы;</w:t>
            </w:r>
          </w:p>
          <w:p>
            <w:pPr>
              <w:spacing w:after="20"/>
              <w:ind w:left="20"/>
              <w:jc w:val="both"/>
            </w:pPr>
            <w:r>
              <w:rPr>
                <w:rFonts w:ascii="Times New Roman"/>
                <w:b w:val="false"/>
                <w:i w:val="false"/>
                <w:color w:val="000000"/>
                <w:sz w:val="20"/>
              </w:rPr>
              <w:t>
10) Жерге тұйықтау жүйесінің болуы;</w:t>
            </w:r>
          </w:p>
          <w:p>
            <w:pPr>
              <w:spacing w:after="20"/>
              <w:ind w:left="20"/>
              <w:jc w:val="both"/>
            </w:pPr>
            <w:r>
              <w:rPr>
                <w:rFonts w:ascii="Times New Roman"/>
                <w:b w:val="false"/>
                <w:i w:val="false"/>
                <w:color w:val="000000"/>
                <w:sz w:val="20"/>
              </w:rPr>
              <w:t>
11) Серверлік жабдықтың конфигурациясын тексере отырып, оны тұрақты негізде түгендеу жүргізу жөніндегі талаптарды сақтау;</w:t>
            </w:r>
          </w:p>
          <w:p>
            <w:pPr>
              <w:spacing w:after="20"/>
              <w:ind w:left="20"/>
              <w:jc w:val="both"/>
            </w:pPr>
            <w:r>
              <w:rPr>
                <w:rFonts w:ascii="Times New Roman"/>
                <w:b w:val="false"/>
                <w:i w:val="false"/>
                <w:color w:val="000000"/>
                <w:sz w:val="20"/>
              </w:rPr>
              <w:t>
12) Серверлік үй-жайда аппараттық-бағдарламалық кешен серверлік жабдығын және деректерді сақтау жүйесін орналастыру жөніндегі талаптарды сақтау;</w:t>
            </w:r>
          </w:p>
          <w:p>
            <w:pPr>
              <w:spacing w:after="20"/>
              <w:ind w:left="20"/>
              <w:jc w:val="both"/>
            </w:pPr>
            <w:r>
              <w:rPr>
                <w:rFonts w:ascii="Times New Roman"/>
                <w:b w:val="false"/>
                <w:i w:val="false"/>
                <w:color w:val="000000"/>
                <w:sz w:val="20"/>
              </w:rPr>
              <w:t>
13) Серверлік үй-жай өте алмайтын, терезе ойықтары жоқ бөлек үй-жайларда орналастыру. Терезе ойықтары болған жағдайда, олар жабылады немесе жанбайтын материалдармен бекітіледі. Қабырға, төбе мен еден сырттары үшін шаң шығармайтын және жинамайтын материалдар пайдаланылу. Еден жабыны үшін антистатикалық қасиеті бар материалдар пайдаланылады;</w:t>
            </w:r>
          </w:p>
          <w:p>
            <w:pPr>
              <w:spacing w:after="20"/>
              <w:ind w:left="20"/>
              <w:jc w:val="both"/>
            </w:pPr>
            <w:r>
              <w:rPr>
                <w:rFonts w:ascii="Times New Roman"/>
                <w:b w:val="false"/>
                <w:i w:val="false"/>
                <w:color w:val="000000"/>
                <w:sz w:val="20"/>
              </w:rPr>
              <w:t>
14) Серверлік үй-жай кабельдік жүйелер мен инженерлік коммуникацияларды орналастыруға арналған фальшеденмен және (немесе) фальштөбемен жабдықталудың болуы;</w:t>
            </w:r>
          </w:p>
          <w:p>
            <w:pPr>
              <w:spacing w:after="20"/>
              <w:ind w:left="20"/>
              <w:jc w:val="both"/>
            </w:pPr>
            <w:r>
              <w:rPr>
                <w:rFonts w:ascii="Times New Roman"/>
                <w:b w:val="false"/>
                <w:i w:val="false"/>
                <w:color w:val="000000"/>
                <w:sz w:val="20"/>
              </w:rPr>
              <w:t>
15) Кез келген транзиттік коммуникациялардан өту бойынша алып тастау жөніндегі талаптарды сақтау;</w:t>
            </w:r>
          </w:p>
          <w:p>
            <w:pPr>
              <w:spacing w:after="20"/>
              <w:ind w:left="20"/>
              <w:jc w:val="both"/>
            </w:pPr>
            <w:r>
              <w:rPr>
                <w:rFonts w:ascii="Times New Roman"/>
                <w:b w:val="false"/>
                <w:i w:val="false"/>
                <w:color w:val="000000"/>
                <w:sz w:val="20"/>
              </w:rPr>
              <w:t>
16) Негізгі және резервтік серверлік үй-жайлардың бір-бірінен шалғайдағы ғимараттарда қауіпсіз қашықтықта орналасуы бойынша талаптарды сақтау. Резервтік серверлік үй жайларға қойылатын талаптар негізгі серверлік үй жайларға қойылатын талаптармен бірдей;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Кростық үй-жай бойынша келесі талаптарды сақтау:</w:t>
            </w:r>
          </w:p>
          <w:p>
            <w:pPr>
              <w:spacing w:after="20"/>
              <w:ind w:left="20"/>
              <w:jc w:val="both"/>
            </w:pPr>
            <w:r>
              <w:rPr>
                <w:rFonts w:ascii="Times New Roman"/>
                <w:b w:val="false"/>
                <w:i w:val="false"/>
                <w:color w:val="000000"/>
                <w:sz w:val="20"/>
              </w:rPr>
              <w:t>
1) Электромагниттік кедергілердің қуатты көздерінің болмауы;</w:t>
            </w:r>
          </w:p>
          <w:p>
            <w:pPr>
              <w:spacing w:after="20"/>
              <w:ind w:left="20"/>
              <w:jc w:val="both"/>
            </w:pPr>
            <w:r>
              <w:rPr>
                <w:rFonts w:ascii="Times New Roman"/>
                <w:b w:val="false"/>
                <w:i w:val="false"/>
                <w:color w:val="000000"/>
                <w:sz w:val="20"/>
              </w:rPr>
              <w:t>
2) Сумен жабдықтау жүйесінің бұрандалары мен құбырларының болмауы;</w:t>
            </w:r>
          </w:p>
          <w:p>
            <w:pPr>
              <w:spacing w:after="20"/>
              <w:ind w:left="20"/>
              <w:jc w:val="both"/>
            </w:pPr>
            <w:r>
              <w:rPr>
                <w:rFonts w:ascii="Times New Roman"/>
                <w:b w:val="false"/>
                <w:i w:val="false"/>
                <w:color w:val="000000"/>
                <w:sz w:val="20"/>
              </w:rPr>
              <w:t>
3) Өрт қауіпсіздігі жүйесінің болуы;</w:t>
            </w:r>
          </w:p>
          <w:p>
            <w:pPr>
              <w:spacing w:after="20"/>
              <w:ind w:left="20"/>
              <w:jc w:val="both"/>
            </w:pPr>
            <w:r>
              <w:rPr>
                <w:rFonts w:ascii="Times New Roman"/>
                <w:b w:val="false"/>
                <w:i w:val="false"/>
                <w:color w:val="000000"/>
                <w:sz w:val="20"/>
              </w:rPr>
              <w:t>
4) Жеңіл жанатын материалдардың болмауы;</w:t>
            </w:r>
          </w:p>
          <w:p>
            <w:pPr>
              <w:spacing w:after="20"/>
              <w:ind w:left="20"/>
              <w:jc w:val="both"/>
            </w:pPr>
            <w:r>
              <w:rPr>
                <w:rFonts w:ascii="Times New Roman"/>
                <w:b w:val="false"/>
                <w:i w:val="false"/>
                <w:color w:val="000000"/>
                <w:sz w:val="20"/>
              </w:rPr>
              <w:t>
5) Жоба бойынша шкафты қосу үшін автоматтан бөлек жеке электр қуатталу желісінің болуы;</w:t>
            </w:r>
          </w:p>
          <w:p>
            <w:pPr>
              <w:spacing w:after="20"/>
              <w:ind w:left="20"/>
              <w:jc w:val="both"/>
            </w:pPr>
            <w:r>
              <w:rPr>
                <w:rFonts w:ascii="Times New Roman"/>
                <w:b w:val="false"/>
                <w:i w:val="false"/>
                <w:color w:val="000000"/>
                <w:sz w:val="20"/>
              </w:rPr>
              <w:t>
6) Сигнализациялық күзет жүйесінің, кіруді бақылау жүйесінің болуы;</w:t>
            </w:r>
          </w:p>
          <w:p>
            <w:pPr>
              <w:spacing w:after="20"/>
              <w:ind w:left="20"/>
              <w:jc w:val="both"/>
            </w:pPr>
            <w:r>
              <w:rPr>
                <w:rFonts w:ascii="Times New Roman"/>
                <w:b w:val="false"/>
                <w:i w:val="false"/>
                <w:color w:val="000000"/>
                <w:sz w:val="20"/>
              </w:rPr>
              <w:t>
7) Ауа баптау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объектілерді тәжірибелік және өнеркәсіптік пайдалану кезеңінде құралдар мен жүйелерді пайдалану талаптарын сақтау: оқиғаларды және киберқауіпсіздіктің оқыс оқиғаларын мониторингілеу және басқару; цифрлық инфрақұрылым; басып кірудің алдын алу және анықтау.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жеке жедел орталығын құру және оның жұмыс істеуін қамтамасыз ету немесе үшінші тұлғалардан киберқауіпсіздіктің жедел орталығының қызметтерін сатып алу жөніндегі талаптарды сақтау, сондай-ақ оның Ақпараттық қауіпсіздіктің ұлттық үйлестіру орталығымен өзара іс-қимылы.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KZ және (немесе). ҚАЗ домендік атауы бар интернет-ресурсты Қазақстан Республикасының аумағында орналасқан аппараттық-бағдарламалық кешенде орналастыру жөніндегі талапты сақтау.</w:t>
            </w:r>
          </w:p>
          <w:p>
            <w:pPr>
              <w:spacing w:after="20"/>
              <w:ind w:left="20"/>
              <w:jc w:val="both"/>
            </w:pPr>
            <w:r>
              <w:rPr>
                <w:rFonts w:ascii="Times New Roman"/>
                <w:b w:val="false"/>
                <w:i w:val="false"/>
                <w:color w:val="000000"/>
                <w:sz w:val="20"/>
              </w:rPr>
              <w:t>
Интернеттің қазақстандық сегментінің кеңістігінде. KZ және (немесе). ҚАЗ домендік аттарын пайдалану қауіпсіздік сертификаттарын қолдану арқылы жүзеге асырылу талаптарын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ЖАО және ұйымдар сенім білдірілген бағдарламалық қамтылым және электрондық өнеркәсіп өнімдерінің тізілімінен елдің қорғанысы мен мемлекеттің қауіпсіздігі үшін киберқауіпсіздікті қамтамасыз ету талаптарын іске асыру мақсатында тауарларды сатып алу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МО-да, ЖАО-да немесе ұйымда киберқауіпсіздіктің бұзылу оқиғаларын бақылау мақсатында талаптарды сақтау:</w:t>
            </w:r>
          </w:p>
          <w:p>
            <w:pPr>
              <w:spacing w:after="20"/>
              <w:ind w:left="20"/>
              <w:jc w:val="both"/>
            </w:pPr>
            <w:r>
              <w:rPr>
                <w:rFonts w:ascii="Times New Roman"/>
                <w:b w:val="false"/>
                <w:i w:val="false"/>
                <w:color w:val="000000"/>
                <w:sz w:val="20"/>
              </w:rPr>
              <w:t>
1) Киберқауіпсіздікті бұзуға байланысты оқиғалар мониторингі мен мониторинг нәтижелерін талдау жүргізіледі;</w:t>
            </w:r>
          </w:p>
          <w:p>
            <w:pPr>
              <w:spacing w:after="20"/>
              <w:ind w:left="20"/>
              <w:jc w:val="both"/>
            </w:pPr>
            <w:r>
              <w:rPr>
                <w:rFonts w:ascii="Times New Roman"/>
                <w:b w:val="false"/>
                <w:i w:val="false"/>
                <w:color w:val="000000"/>
                <w:sz w:val="20"/>
              </w:rPr>
              <w:t>
2) Киберқауіпсіздіктің жай-күйіне байланысты оқиғалар тіркеліп, оқиғалар журналдарын, оның ішінде:</w:t>
            </w:r>
          </w:p>
          <w:p>
            <w:pPr>
              <w:spacing w:after="20"/>
              <w:ind w:left="20"/>
              <w:jc w:val="both"/>
            </w:pPr>
            <w:r>
              <w:rPr>
                <w:rFonts w:ascii="Times New Roman"/>
                <w:b w:val="false"/>
                <w:i w:val="false"/>
                <w:color w:val="000000"/>
                <w:sz w:val="20"/>
              </w:rPr>
              <w:t>
операциялық жүйелердің оқиғалар журналдарын;</w:t>
            </w:r>
          </w:p>
          <w:p>
            <w:pPr>
              <w:spacing w:after="20"/>
              <w:ind w:left="20"/>
              <w:jc w:val="both"/>
            </w:pPr>
            <w:r>
              <w:rPr>
                <w:rFonts w:ascii="Times New Roman"/>
                <w:b w:val="false"/>
                <w:i w:val="false"/>
                <w:color w:val="000000"/>
                <w:sz w:val="20"/>
              </w:rPr>
              <w:t>
дерекқорларды басқару жүйелерінің оқиғалар журналдарын;</w:t>
            </w:r>
          </w:p>
          <w:p>
            <w:pPr>
              <w:spacing w:after="20"/>
              <w:ind w:left="20"/>
              <w:jc w:val="both"/>
            </w:pPr>
            <w:r>
              <w:rPr>
                <w:rFonts w:ascii="Times New Roman"/>
                <w:b w:val="false"/>
                <w:i w:val="false"/>
                <w:color w:val="000000"/>
                <w:sz w:val="20"/>
              </w:rPr>
              <w:t>
вирусқа қарсы қорғау оқиғаларының журналдарын;</w:t>
            </w:r>
          </w:p>
          <w:p>
            <w:pPr>
              <w:spacing w:after="20"/>
              <w:ind w:left="20"/>
              <w:jc w:val="both"/>
            </w:pPr>
            <w:r>
              <w:rPr>
                <w:rFonts w:ascii="Times New Roman"/>
                <w:b w:val="false"/>
                <w:i w:val="false"/>
                <w:color w:val="000000"/>
                <w:sz w:val="20"/>
              </w:rPr>
              <w:t>
қолданбалы БҚ оқиғалар журналдарын;</w:t>
            </w:r>
          </w:p>
          <w:p>
            <w:pPr>
              <w:spacing w:after="20"/>
              <w:ind w:left="20"/>
              <w:jc w:val="both"/>
            </w:pPr>
            <w:r>
              <w:rPr>
                <w:rFonts w:ascii="Times New Roman"/>
                <w:b w:val="false"/>
                <w:i w:val="false"/>
                <w:color w:val="000000"/>
                <w:sz w:val="20"/>
              </w:rPr>
              <w:t>
телекоммуникациялық жабдықтың оқиғалар журналдарын;</w:t>
            </w:r>
          </w:p>
          <w:p>
            <w:pPr>
              <w:spacing w:after="20"/>
              <w:ind w:left="20"/>
              <w:jc w:val="both"/>
            </w:pPr>
            <w:r>
              <w:rPr>
                <w:rFonts w:ascii="Times New Roman"/>
                <w:b w:val="false"/>
                <w:i w:val="false"/>
                <w:color w:val="000000"/>
                <w:sz w:val="20"/>
              </w:rPr>
              <w:t>
шабуылдарды анықтау және алдын алу жүйелерінің оқиғалар журналдарын;</w:t>
            </w:r>
          </w:p>
          <w:p>
            <w:pPr>
              <w:spacing w:after="20"/>
              <w:ind w:left="20"/>
              <w:jc w:val="both"/>
            </w:pPr>
            <w:r>
              <w:rPr>
                <w:rFonts w:ascii="Times New Roman"/>
                <w:b w:val="false"/>
                <w:i w:val="false"/>
                <w:color w:val="000000"/>
                <w:sz w:val="20"/>
              </w:rPr>
              <w:t>
контентті басқару жүйесі оқиғаларының журналын талдау арқылы бұзушылықтар анықталады;</w:t>
            </w:r>
          </w:p>
          <w:p>
            <w:pPr>
              <w:spacing w:after="20"/>
              <w:ind w:left="20"/>
              <w:jc w:val="both"/>
            </w:pPr>
            <w:r>
              <w:rPr>
                <w:rFonts w:ascii="Times New Roman"/>
                <w:b w:val="false"/>
                <w:i w:val="false"/>
                <w:color w:val="000000"/>
                <w:sz w:val="20"/>
              </w:rPr>
              <w:t>
3) оқиғаларды тіркеу журналдарындағы уақытты уақыт көзінің инфрақұрылымымен үйлесімді қамтамасыз ету;</w:t>
            </w:r>
          </w:p>
          <w:p>
            <w:pPr>
              <w:spacing w:after="20"/>
              <w:ind w:left="20"/>
              <w:jc w:val="both"/>
            </w:pPr>
            <w:r>
              <w:rPr>
                <w:rFonts w:ascii="Times New Roman"/>
                <w:b w:val="false"/>
                <w:i w:val="false"/>
                <w:color w:val="000000"/>
                <w:sz w:val="20"/>
              </w:rPr>
              <w:t>
4) оқиғаларды тіркеу журналдарын киберқауіпсіздікті қамтамасыз ету жөніндегі ТҚ-да көрсетілген мерзім ішінде сақтау, бірақ үш жылдан кем емес және екі айдан кем емес жедел қолжетімділікте болу;</w:t>
            </w:r>
          </w:p>
          <w:p>
            <w:pPr>
              <w:spacing w:after="20"/>
              <w:ind w:left="20"/>
              <w:jc w:val="both"/>
            </w:pPr>
            <w:r>
              <w:rPr>
                <w:rFonts w:ascii="Times New Roman"/>
                <w:b w:val="false"/>
                <w:i w:val="false"/>
                <w:color w:val="000000"/>
                <w:sz w:val="20"/>
              </w:rPr>
              <w:t>
5) оқиғаларды тіркеу журналдарын жүргізу;</w:t>
            </w:r>
          </w:p>
          <w:p>
            <w:pPr>
              <w:spacing w:after="20"/>
              <w:ind w:left="20"/>
              <w:jc w:val="both"/>
            </w:pPr>
            <w:r>
              <w:rPr>
                <w:rFonts w:ascii="Times New Roman"/>
                <w:b w:val="false"/>
                <w:i w:val="false"/>
                <w:color w:val="000000"/>
                <w:sz w:val="20"/>
              </w:rPr>
              <w:t>
6) оқиғаларды тіркеу журналдарын араласудан және рұқсатсыз кіруден қорғауды қамтамасыз ету. Жүйелік әкімшілерде журналдарды өзгертуге, жоюға және өшіруге өкілеттіктердің болуына жол бермеу. Құпия ЦЖ журналдардың резервтік қоймасын құруды және жүргізуді талап етеді;</w:t>
            </w:r>
          </w:p>
          <w:p>
            <w:pPr>
              <w:spacing w:after="20"/>
              <w:ind w:left="20"/>
              <w:jc w:val="both"/>
            </w:pPr>
            <w:r>
              <w:rPr>
                <w:rFonts w:ascii="Times New Roman"/>
                <w:b w:val="false"/>
                <w:i w:val="false"/>
                <w:color w:val="000000"/>
                <w:sz w:val="20"/>
              </w:rPr>
              <w:t>
7) Киберқауіпсіздік оқыс оқиғалары туралы хабардар етудің және киберқауіпсіздік оқыс оқиғаларына әрекет етудің формальді рәсімін енгізу қамтамасыз етіледі.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 ЦЖ, цифрлық инфрақұрылымның киберқауіпсіздігін қамтамасыз етуге бөгде ұйымдарды тартқан жағдайда олардың иесі немесе иеленушісі аталған объектілермен жұмыс істеу, оларға қол жеткізу немесе пайдалану шарттары, сондай-ақ оларды бұзғаны үшін жауапкершілігі белгіленетін келісімдерінің болуы жөніндегі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қызметкерінің еңбек шартының талаптарына өзгерістер енгізу, МО, ЖАО қызметшісін ротациялау немесе Мемлекеттік қызмет бойынша ілгерілету, оларды жұмыстан шығару кезінде физикалық және логикалық қолжетімділікті, қол жеткізу, жазылу сәйкестендіргіштерін, оны МО, ЖАО жұмыс істейтін қызметшісі немесе ұйым жұмыскері ретінде сәйкестендіретін құжаттаманы қамтитын ақпаратқа және ақпаратты өңдеу құралдарына қол жеткізу құқықтарын сақтау, жойылады.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қызметімен МО, ЖАО қызметшілерін немесе ұйым жұмыскерлерін цифрландыру және киберқауіпсіздікті қамтамасыз ету саласында оқытуын ұйымдастыру және электрондық сертификат беріле отырып, жеке іс материалдарында сақталу есебін жүргізу талаптарын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оқиғалары мониторингін және оқиғалар журналын талдау нәтижелері бойынша құпиялылығы, қолжетімділігі мен тұтастығы үшін өте қатерлі болып сәйкестендірілген қиберқаурсіздік оқиғаларын мемлекеттік техникалық қызметтің компьютерлік инциденттерге әрекет ету қызметінде тіркеу талаптарын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банктерді қоспағанда, заңмен қорғалатын құпияны қамтитын деректерді өңдейтін аса маңызды цифрлық объектілерінің иелеріне жылына кемінде бір рет киберқауіпсіздік аудитін жүргізу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Сервистік бағдарламалық өнімді өнеркәсіптік пайдалану кезінде киберқауіпсіздік талаптарына сәйкестігі тұрғысынан сынақтардың оң нәтижелері бар актінің болуы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Әзірленетін немесе сатып алынатын дайын қолданбалы БҚ пайдаланушы интерфейсін пайдаланушының тіл интерфейсін таңдау мүмкіндігімен, деректерді қазақ, орыс және қажет болған жағдайда басқа тілдерде енгізуді, өңдеу мен шығаруды қамтамасыз ету талаптарын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ЖАО немесе ұйым:</w:t>
            </w:r>
          </w:p>
          <w:p>
            <w:pPr>
              <w:spacing w:after="20"/>
              <w:ind w:left="20"/>
              <w:jc w:val="both"/>
            </w:pPr>
            <w:r>
              <w:rPr>
                <w:rFonts w:ascii="Times New Roman"/>
                <w:b w:val="false"/>
                <w:i w:val="false"/>
                <w:color w:val="000000"/>
                <w:sz w:val="20"/>
              </w:rPr>
              <w:t>
пайдаланушылар мен персоналдың іс-қимылы;</w:t>
            </w:r>
          </w:p>
          <w:p>
            <w:pPr>
              <w:spacing w:after="20"/>
              <w:ind w:left="20"/>
              <w:jc w:val="both"/>
            </w:pPr>
            <w:r>
              <w:rPr>
                <w:rFonts w:ascii="Times New Roman"/>
                <w:b w:val="false"/>
                <w:i w:val="false"/>
                <w:color w:val="000000"/>
                <w:sz w:val="20"/>
              </w:rPr>
              <w:t>
ақпаратты өңдеу құралдарын қолдану мониторингін жүзеге асырады.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Әзірленетін немесе сатып алынатын дайын қолданбалы БҚ қазақ және орыс тілдерінде пайдалану жөніндегі техникалық құжаттамамен қамтамасыз ету талаптарын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Ендірілген жүйелер серверінің жоғары қолжетімділігін қамтамасыз ету жөніндегі талаптарды сақтау: 1) резервтік желдеткіштерді, қуат көздерін, дискілерді және енгізу-шығару адаптерлерін қызу ауыстыру; 2) сыни оқиғалар туралы ескертулер; 3) сыни компоненттердің жай-күйін үздіксіз бақылауды қолдау және бақыланатын көрсеткіштерді өлшеу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ЦЖ-да, құпия ЦР-да және қолжетімділігі шектелген дербес деректерді қамтитын ЦР-да пайдаланылатын ақпаратты тасығыштарды пайдаланудан шығарған кезде ақпаратты кепілдікті жоюдың бағдарламалық және аппараттық қамтылымы қолдану жөніндегі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желінің құжат жүзіндегі схемасы болуы және оны пайдаланған кезде өзектілендірілген күйде ұсталу талабының сақталуы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ЖАО цифрлық объектілерін және аса маңызды цифрлық объектілерін қорғау үшін деректердің тарап кетуін болғызбау жүйелері (DLP) қолдану жөніндегі талаптарды сақтау.</w:t>
            </w:r>
          </w:p>
          <w:p>
            <w:pPr>
              <w:spacing w:after="20"/>
              <w:ind w:left="20"/>
              <w:jc w:val="both"/>
            </w:pPr>
            <w:r>
              <w:rPr>
                <w:rFonts w:ascii="Times New Roman"/>
                <w:b w:val="false"/>
                <w:i w:val="false"/>
                <w:color w:val="000000"/>
                <w:sz w:val="20"/>
              </w:rPr>
              <w:t>
Бұл ретте:</w:t>
            </w:r>
          </w:p>
          <w:p>
            <w:pPr>
              <w:spacing w:after="20"/>
              <w:ind w:left="20"/>
              <w:jc w:val="both"/>
            </w:pPr>
            <w:r>
              <w:rPr>
                <w:rFonts w:ascii="Times New Roman"/>
                <w:b w:val="false"/>
                <w:i w:val="false"/>
                <w:color w:val="000000"/>
                <w:sz w:val="20"/>
              </w:rPr>
              <w:t>
іс-қимылға жүргізілетін бақылау туралы пайдаланушыны визуалды түрде хабардар ету;</w:t>
            </w:r>
          </w:p>
          <w:p>
            <w:pPr>
              <w:spacing w:after="20"/>
              <w:ind w:left="20"/>
              <w:jc w:val="both"/>
            </w:pPr>
            <w:r>
              <w:rPr>
                <w:rFonts w:ascii="Times New Roman"/>
                <w:b w:val="false"/>
                <w:i w:val="false"/>
                <w:color w:val="000000"/>
                <w:sz w:val="20"/>
              </w:rPr>
              <w:t>
жергілікті желі шегінде деректердің тарап кетуін болғызбау жүйесінің басқару орталығы мен серверлерін орналастыру қамтамасыз етіледі.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МО-ның және ЖАО-ның ЦЖ-сын, оның ішінде МО-ның немесе ЖАО-ның тәжірибелік пайдалануға енгізілген ЦЖ-сымен интеграциялау талаптарын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операторы ұйымдастырған АКҚҚ пайдаланылатын мемлекеттік органдардың бірыңғай көліктік ортасының (бұдан әрі - МО БКО) сымсыз байланыс арналарын қоспағанда, МО БКО-ға, ЦС-нің жергілікті желісіне, сондай-ақ МО БКО, ЦС-нің жергілікті желісінің құрамына кіретін техникалық құралдарға сымсыз желілер арқылы қашықтан қол жеткізуді, сымсыз қолжетімділікті ұйымдастыруға арналған құралдарды, модемдерді, радиомодемдерді, ұялы байланыс операторларының желілік модемдерін, ұялы байланыстың абоненттік құрылғыларын және басқа да сымсыз желілік құрылғыларды қосуға жол берілмеу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цифрлық объектісін өнеркәсіптік пайдалануға беруді оның меншік иесі немесе иеленушісі мемлекеттік техникалық қызмет берген "цифрлық үкіметтің" цифрлық объектілерінің бастапқы кодтарынан құрастырылған орындалатын кодтарды пайдалана отырып қана жүзеге асыру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субъектінің ішкі шеңберінің ЖЖ Интернетке қосуға жол берілмеу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Интернет-ресурс иесі және (немесе) иеленушісі пайдаланушының кескін тілін таңдау мүмкіндігімен қазақ, орыс және қажет болған жағдайда басқа тілдерде көпшілікке қолжетімді интернет-ресурстар құруды қамтамасыз ету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 пайдалану оң аяқталған, киберқауіпсіздік талаптарына сәйкестігі тұрғысынан сынақтардың оң нәтижелері бар сынақ хаттамалары болған, цифрландыру және киберқауіпсіздікті қамтамасыз ету саласындағы уәкілетті органдардың, мүдделі МО-ның, ЖАО-ның және ұйымдардың өкілдері қатысатын қабылдау комиссиясы ЦЖ-ны өнеркәсіптік пайдалануға беру туралы актіге қол қойған жағдайда МО-ның, ЖАО-ның және ұйымдардың ЦЖ-ны өнеркәсіптік пайдалануға беру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Лауазымды адам (-дар) _________________________________________________________</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Бақылау субъектісінің басшысы ________________________________________________</w:t>
      </w:r>
      <w:r>
        <w:br/>
      </w:r>
      <w:r>
        <w:rPr>
          <w:rFonts w:ascii="Times New Roman"/>
          <w:b w:val="false"/>
          <w:i w:val="false"/>
          <w:color w:val="000000"/>
          <w:sz w:val="28"/>
        </w:rPr>
        <w:t xml:space="preserve">                                                                                  лауазымы қолы</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