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95b0" w14:textId="b639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23 қаңтардағы № 13 және Қазақстан Республикасы Ұлттық экономика министрінің 2019 жылғы 24 қаңтардағы № 9 бірлескен бұйрығы. Қазақстан Республикасының Әділет министрлігінде 2019 жылғы 25 қаңтарда № 18240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12991 тіркелген, "Әділет" ақпараттық-құқықтық жүйесінде 2016 жылғы 16 ақпанда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бұйрыққа 1-қосымшаға сәйкес, Туристік қызмет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өрескел бұзушылық – Заңда белгіленген турагенттің, гидтің (гид-аудармашының), экскурсоводтың және туризм нұсқаушының қызметінің басталғаны туралы хабарламаның, туристік қызмет көрсету және туроператор қалыптастырған туристік өнімді іске асыру шарттарының, екінші деңгейдегі банкпен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bookmarkEnd w:id="4"/>
    <w:bookmarkStart w:name="z6" w:id="5"/>
    <w:p>
      <w:pPr>
        <w:spacing w:after="0"/>
        <w:ind w:left="0"/>
        <w:jc w:val="both"/>
      </w:pPr>
      <w:r>
        <w:rPr>
          <w:rFonts w:ascii="Times New Roman"/>
          <w:b w:val="false"/>
          <w:i w:val="false"/>
          <w:color w:val="000000"/>
          <w:sz w:val="28"/>
        </w:rPr>
        <w:t xml:space="preserve">
      көрсетілген Өлшемшарттарға қосымшаға сәйкес, туристік қызмет субъектілері үшін тәуекел дәрежесінің субъективтік </w:t>
      </w:r>
      <w:r>
        <w:rPr>
          <w:rFonts w:ascii="Times New Roman"/>
          <w:b w:val="false"/>
          <w:i w:val="false"/>
          <w:color w:val="000000"/>
          <w:sz w:val="28"/>
        </w:rPr>
        <w:t>өлшемшарттарында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"Туристік оператор үшін" деген бөлімде:</w:t>
      </w:r>
    </w:p>
    <w:bookmarkEnd w:id="6"/>
    <w:bookmarkStart w:name="z8" w:id="7"/>
    <w:p>
      <w:pPr>
        <w:spacing w:after="0"/>
        <w:ind w:left="0"/>
        <w:jc w:val="both"/>
      </w:pPr>
      <w:r>
        <w:rPr>
          <w:rFonts w:ascii="Times New Roman"/>
          <w:b w:val="false"/>
          <w:i w:val="false"/>
          <w:color w:val="000000"/>
          <w:sz w:val="28"/>
        </w:rPr>
        <w:t>
      "1. Алдыңғы тексерулердің және бақылау субъектісіне (объектісіне) бару арқылы профилактикалық бақылаудың нәтижелері (бұзушылықтың ауырлық дәрежесі (өрескел, елеулі, елеусіз) туристік қызмет саласындағы Қазақстан Республикасы заңнамасының талаптарын сақтамағанда белгіленеді)" деген кіші бөлім мынадай мазмұндағы, реттік нөмірі 10-жолмен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4997"/>
        <w:gridCol w:w="2320"/>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xml:space="preserve">
      көрсетілген бірлескен бұйрыққа 2-қосымшаға сәйкес, туристік операторға қатысты туристік қызмет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мынадай мазмұндағы, реттік нөмірі 10-жолмен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6"/>
        <w:gridCol w:w="4800"/>
        <w:gridCol w:w="678"/>
        <w:gridCol w:w="678"/>
        <w:gridCol w:w="679"/>
        <w:gridCol w:w="679"/>
      </w:tblGrid>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3) осы бірлескен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бірлескен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4"/>
    <w:bookmarkStart w:name="z16" w:id="15"/>
    <w:p>
      <w:pPr>
        <w:spacing w:after="0"/>
        <w:ind w:left="0"/>
        <w:jc w:val="both"/>
      </w:pPr>
      <w:r>
        <w:rPr>
          <w:rFonts w:ascii="Times New Roman"/>
          <w:b w:val="false"/>
          <w:i w:val="false"/>
          <w:color w:val="000000"/>
          <w:sz w:val="28"/>
        </w:rPr>
        <w:t>
      4. Осы бірлескен бұйрық оны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