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7d13" w14:textId="e867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17 мамырдағы № 16-4 шешімі. Батыс Қазақстан облысының Әділет департаментінде 2018 жылғы 24 мамырда № 5207 болып тіркелді. Күші жойылды - Батыс Қазақстан облысы Бөкей ордасы аудандық мәслихатының 2024 жылғы 10 маусымдағы № 18-3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10.06.2024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Бөкей ордасы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Бөкей ордасы аудандық мәслихаты аппаратының басшысы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С.Унаев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16-4 шешімімен бекітілген</w:t>
            </w:r>
          </w:p>
        </w:tc>
      </w:tr>
    </w:tbl>
    <w:bookmarkStart w:name="z8" w:id="4"/>
    <w:p>
      <w:pPr>
        <w:spacing w:after="0"/>
        <w:ind w:left="0"/>
        <w:jc w:val="left"/>
      </w:pPr>
      <w:r>
        <w:rPr>
          <w:rFonts w:ascii="Times New Roman"/>
          <w:b/>
          <w:i w:val="false"/>
          <w:color w:val="000000"/>
        </w:rPr>
        <w:t xml:space="preserve"> Бөкей ордасы ауданының ауылдық округтерінің жергілікті қоғамдастық </w:t>
      </w:r>
      <w:r>
        <w:br/>
      </w:r>
      <w:r>
        <w:rPr>
          <w:rFonts w:ascii="Times New Roman"/>
          <w:b/>
          <w:i w:val="false"/>
          <w:color w:val="000000"/>
        </w:rPr>
        <w:t>жиналысының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Бөкей ордасы аудандық мәслихатының 15.10.2021 </w:t>
      </w:r>
      <w:r>
        <w:rPr>
          <w:rFonts w:ascii="Times New Roman"/>
          <w:b w:val="false"/>
          <w:i w:val="false"/>
          <w:color w:val="ff0000"/>
          <w:sz w:val="28"/>
        </w:rPr>
        <w:t>№ 9-2</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xml:space="preserve">
      1. Осы Бөкей ордасы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6"/>
    <w:bookmarkStart w:name="z11"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2"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3"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4"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0"/>
    <w:bookmarkStart w:name="z15" w:id="11"/>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6"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7"/>
    <w:bookmarkStart w:name="z22" w:id="1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әкіміне кандидат ретінде тіркеу үшін Бөкей ордасы аудандық сайлау комиссиясына одан әрі енгізу үшін аудан әкімінің ауылдық округ әкімі лауазымына ұсынған кандидатураларын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5"/>
    <w:bookmarkStart w:name="z30" w:id="26"/>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0"/>
    <w:bookmarkStart w:name="z35" w:id="31"/>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бекітіледі.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bookmarkEnd w:id="40"/>
    <w:bookmarkStart w:name="z45" w:id="4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w:t>
      </w:r>
    </w:p>
    <w:bookmarkEnd w:id="43"/>
    <w:bookmarkStart w:name="z48" w:id="44"/>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bookmarkEnd w:id="44"/>
    <w:bookmarkStart w:name="z49"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0"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1" w:id="47"/>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47"/>
    <w:bookmarkStart w:name="z52" w:id="4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дауысымен шешім қабылдайды.</w:t>
      </w:r>
    </w:p>
    <w:bookmarkEnd w:id="48"/>
    <w:bookmarkStart w:name="z53" w:id="4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9"/>
    <w:bookmarkStart w:name="z54"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5"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56"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7" w:id="5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3"/>
    <w:bookmarkStart w:name="z58" w:id="5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4"/>
    <w:bookmarkStart w:name="z59" w:id="5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5"/>
    <w:bookmarkStart w:name="z60"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1"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Бөкей ордасы аудандық мәслихатының (одан әрі – мәслихат) қарауына беріледі.</w:t>
      </w:r>
    </w:p>
    <w:bookmarkEnd w:id="57"/>
    <w:bookmarkStart w:name="z62" w:id="58"/>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8"/>
    <w:bookmarkStart w:name="z63" w:id="59"/>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59"/>
    <w:bookmarkStart w:name="z64"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0"/>
    <w:bookmarkStart w:name="z65" w:id="61"/>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61"/>
    <w:bookmarkStart w:name="z66" w:id="62"/>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62"/>
    <w:bookmarkStart w:name="z67" w:id="63"/>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3"/>
    <w:bookmarkStart w:name="z68" w:id="64"/>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64"/>
    <w:bookmarkStart w:name="z69" w:id="6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65"/>
    <w:bookmarkStart w:name="z70" w:id="66"/>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тәртіптік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