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e1a3" w14:textId="0bfe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9 қаңтардағы № 18/158-VI шешімі. Шығыс Қазақстан облысының Әділет департаментінде 2018 жылғы 24 қаңтарда № 5468 болып тіркелді. Күші жойылды - Жарма аудандық мәслихатының 2018 жылғы 21 желтоқсандағы № 28/247-IV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47-VI</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арлық өнеркәсіп кешені және ауылдық аймақтарды дамытуды мемлекеттік реттеу туралы" Заңының 18 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е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ырығына</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рма ауданының ауылдық елді мекендеріне  жұмыс істеу және тұру үшін келген денсаулық сақтау, білім беру, әлеуметтік қамтамасыз ету, мәдениет, спорт және агроөнеркәсіптік кешен саласындағы мамандарға 2018 жылы келесі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түрінде әлеуметтік көмек айқында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ур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