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2345" w14:textId="e3e2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2018 жылғы 16 наурыздағы № 27/6-VI шешімі. Шығыс Қазақстан облысының Әділет департаментінде 2018 жылғы 2 сәуірде № 5585 болып тіркелді. Күші жойылды - Шығыс Қазақстан облысы Өскемен қалалық мәслихатының 2023 жылғы 21 сәуірдегі № 2/17-VIII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21.04.2023 </w:t>
      </w:r>
      <w:r>
        <w:rPr>
          <w:rFonts w:ascii="Times New Roman"/>
          <w:b w:val="false"/>
          <w:i w:val="false"/>
          <w:color w:val="ff0000"/>
          <w:sz w:val="28"/>
        </w:rPr>
        <w:t>№ 2/17-VIII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Өскемен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"Өскемен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2."Өскемен қалалық мәслихатының аппараты" мемлекеттік мекемесінің мемлекеттік әкімшілік қызметшілерінің қызметін бағалау әдістемесін бекіту туралы" Өскемен қалалық мәслихатының 2017 жылғы 29 наурыздағы № 15/10-VI (нормативтік құқықтық актілерді тіркеу Тізілімінде 4996 нөмірімен тіркелген, Қазақстан Республикасының нормативтік құқықтық актілерінің эталондық бақылау банкінде 2017 жылғы 10 мамырда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16 наурыздағы </w:t>
            </w:r>
            <w:r>
              <w:br/>
            </w:r>
            <w:r>
              <w:rPr>
                <w:rFonts w:ascii="Times New Roman"/>
                <w:b w:val="false"/>
                <w:i w:val="false"/>
                <w:color w:val="000000"/>
                <w:sz w:val="20"/>
              </w:rPr>
              <w:t xml:space="preserve">№ 27/6-VI шешімімен бекітілген </w:t>
            </w:r>
          </w:p>
        </w:tc>
      </w:tr>
    </w:tbl>
    <w:bookmarkStart w:name="z6" w:id="4"/>
    <w:p>
      <w:pPr>
        <w:spacing w:after="0"/>
        <w:ind w:left="0"/>
        <w:jc w:val="left"/>
      </w:pPr>
      <w:r>
        <w:rPr>
          <w:rFonts w:ascii="Times New Roman"/>
          <w:b/>
          <w:i w:val="false"/>
          <w:color w:val="000000"/>
        </w:rPr>
        <w:t xml:space="preserve"> "Өскемен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"Өскемен қалалық мәслихатының аппараты" мемлекеттік мекемесінің "Б" корпусы мемлекеттік әкімшілік қызметшілерінің қызметін </w:t>
      </w:r>
      <w:r>
        <w:rPr>
          <w:rFonts w:ascii="Times New Roman"/>
          <w:b w:val="false"/>
          <w:i w:val="false"/>
          <w:color w:val="000000"/>
          <w:sz w:val="28"/>
        </w:rPr>
        <w:t>бағалау 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әзірленді және "Өскемен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xml:space="preserve">
      3. "Б" корпусы қызметшілерінің қызметін бағалау (бұдан әрі – бағалау) олардың жұмысының сапасы мен тиімділігін айқындау үшін өткізіледі. </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Өскемен қалалық мәслихатының хатшысымен "Өскемен қалалық мәслихатының аппараты" ММ аппарат басшысы (бұдан әрі – аппарат басшысы) болып табылатын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Өскемен қалалық мәслихатының хатшысымен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аппарат басшысында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"Б" корпусы қызметшісінің қызметін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аппарат басшысында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5" w:id="43"/>
    <w:p>
      <w:pPr>
        <w:spacing w:after="0"/>
        <w:ind w:left="0"/>
        <w:jc w:val="both"/>
      </w:pPr>
      <w:r>
        <w:rPr>
          <w:rFonts w:ascii="Times New Roman"/>
          <w:b w:val="false"/>
          <w:i w:val="false"/>
          <w:color w:val="000000"/>
          <w:sz w:val="28"/>
        </w:rPr>
        <w:t xml:space="preserve">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 </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xml:space="preserve">
      НМИ-дің орындалуы жеке жоспарда қарастырылған барлық көрсеткіштердің толық орындалуын көздейді. </w:t>
      </w:r>
    </w:p>
    <w:bookmarkEnd w:id="48"/>
    <w:bookmarkStart w:name="z51" w:id="49"/>
    <w:p>
      <w:pPr>
        <w:spacing w:after="0"/>
        <w:ind w:left="0"/>
        <w:jc w:val="both"/>
      </w:pPr>
      <w:r>
        <w:rPr>
          <w:rFonts w:ascii="Times New Roman"/>
          <w:b w:val="false"/>
          <w:i w:val="false"/>
          <w:color w:val="000000"/>
          <w:sz w:val="28"/>
        </w:rPr>
        <w:t xml:space="preserve">
      19. Бағалау парағы тікелей басшымен толтырылғаннан кейін, ол жоғары тұрған басшының қарауына енгізіледі. </w:t>
      </w:r>
    </w:p>
    <w:bookmarkEnd w:id="49"/>
    <w:bookmarkStart w:name="z52"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3" w:id="51"/>
    <w:p>
      <w:pPr>
        <w:spacing w:after="0"/>
        <w:ind w:left="0"/>
        <w:jc w:val="both"/>
      </w:pPr>
      <w:r>
        <w:rPr>
          <w:rFonts w:ascii="Times New Roman"/>
          <w:b w:val="false"/>
          <w:i w:val="false"/>
          <w:color w:val="000000"/>
          <w:sz w:val="28"/>
        </w:rPr>
        <w:t xml:space="preserve">
      21. "Б" корпусы қызметшісінің бағалау парағын қарау қорытындысы бойынша жоғары тұрған басшымен келесі шешімдердің бірі қабылданады: </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аппарат басшысы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 </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1-қосымшасымен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аппарат басшысы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Аппарат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Өскемен қалалық мәслихаты хатшысының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"Өскемен қалалық мәслихатының аппараты" ММ қызметшісі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Аппарат басшысы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Аппарат басшысы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2) Үлгілік әдістеменің 5-қосымшасына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Өскемен қалалық мәслихатының хатшысымен бекітіледі және үлгілік әдістемесінің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 </w:t>
      </w:r>
    </w:p>
    <w:bookmarkEnd w:id="79"/>
    <w:bookmarkStart w:name="z82" w:id="80"/>
    <w:p>
      <w:pPr>
        <w:spacing w:after="0"/>
        <w:ind w:left="0"/>
        <w:jc w:val="both"/>
      </w:pPr>
      <w:r>
        <w:rPr>
          <w:rFonts w:ascii="Times New Roman"/>
          <w:b w:val="false"/>
          <w:i w:val="false"/>
          <w:color w:val="000000"/>
          <w:sz w:val="28"/>
        </w:rPr>
        <w:t>
      40. Аппарат басшысы қызметшіні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аппарат басшысымен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аппарат басшысымен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xml:space="preserve">
      1) мемлекеттік органға Комиссия шешімін жойып, "Б" корпусы қызметшісінің бағалау нәтижесін қайта қарау бойынша ұсыныс беру; </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1-қосымша</w:t>
            </w:r>
          </w:p>
        </w:tc>
      </w:tr>
    </w:tbl>
    <w:bookmarkStart w:name="z90" w:id="87"/>
    <w:p>
      <w:pPr>
        <w:spacing w:after="0"/>
        <w:ind w:left="0"/>
        <w:jc w:val="left"/>
      </w:pPr>
      <w:r>
        <w:rPr>
          <w:rFonts w:ascii="Times New Roman"/>
          <w:b/>
          <w:i w:val="false"/>
          <w:color w:val="000000"/>
        </w:rPr>
        <w:t xml:space="preserve"> Құзыреттердің мінез-құлық индикаторлары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бөліспейді;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 Оларды енгізудің жаңа бағыттары мен әдістерін үйренеді</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 Жұмыста табандылық танытады</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Өз мүддесін ұжым мүддесінен жоғары қояды 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xml:space="preserve">Өзін адалсыз, шамданған және басқаларға дөрекілік және менсізбеушілік қасиеттерін танытады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