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9e7c" w14:textId="3259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2018-2020 жылдарға арналған бюджеті туралы" Өскемен қалалық мәслихатының 2017 жылғы 26 желтоқсандағы № 25/2-VI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19 қазандағы № 36/2-VI шешімі. Шығыс Қазақстан облысы Әділет департаментінің Өскемен қалалық Әділет басқармасында 2018 жылғы 29 қазанда № 5-1-202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10 қазандағы № 23/264-VI (нормативтік құқықтық актілерді мемлекеттік тіркеу Тізілімінде 5682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2017 жылғы 26 желтоқсандағы № 25/2-VI "Өскемен қаласының 2018-2020 жылдарға арналған бюджеті туралы" (нормативтік құқықтық актілерді мемлекеттік тіркеу Тізілімінде 5394 нөмірімен тіркелген, Қазақстан Республикасы нормативтік құқықтық актілерінің эталондық бақылау банкінде 2018 жылғы 15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2018 жылға арналған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51 043 087,4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22 732 862,7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975 097,2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1 157 661,0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26 177 466,5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54 763 880,1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0,0;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- 35 815,0 мың теңге, соның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35 815,0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- 3 684 977,7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3 684 977,7 мың теңге.";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жылға арналған Өскемен қаласының жергілікті атқарушы органының резерві 21 069,4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10 қазандағы № 23/264-VI (нормативтік құқықтық актілерді мемлекеттік тіркеу Тізілімінде 5682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арналған кірістерді бөлу нормативтері атқарылуға алынсын: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35,3 %;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35,3 %."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 шешіміне 1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Өскемен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51 043 087,4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22 732 862,7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9 535 276,9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9 535 276,9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6 192 367,8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6 192 367,8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5 496 875,0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1 635 800,0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1 014 167,0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170 144,0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975 097,2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801 297,2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801 297,2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1 157 661,0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26 177 466,5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26 177 466,5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54 763 880,1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1 631 698,7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37 691,3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30 673,3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288 290,5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252 891,1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170 898,3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897 343,4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897 343,4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16 681 229,3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14 043 900,5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8 522 145,9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434 616,9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1 566 803,6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110 419,0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2 196 418,6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430 406,5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1 949 528,3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1 911 124,3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383 310,5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647 812,1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21 472 206,1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4 920 868,1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857 458,6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2 058 810,6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1 153 435,0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16 364 063,0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6 145 165,5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8 773 622,8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106 156,9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671 680,3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568 872,0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65 893,1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 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860 931,6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171 344,8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192 262,5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162 675,7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197 433,7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179 140,7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49 840,1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8 884 936,4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8 884 936,4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5 761 167,6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1 859 168,8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2 165 199,2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2 076 224,0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-3 684 977,7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3 684 977,7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