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ea1f" w14:textId="544e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2016 жылғы 04 наурыздағы № 52/358-V "Жиналыстар, митингілер, шерулер, пикеттер және демонстрациялар өткізу тәртібін қосымша реттеу туралы" шешімінің күші жойылды деп тану туралы</w:t>
      </w:r>
    </w:p>
    <w:p>
      <w:pPr>
        <w:spacing w:after="0"/>
        <w:ind w:left="0"/>
        <w:jc w:val="both"/>
      </w:pPr>
      <w:r>
        <w:rPr>
          <w:rFonts w:ascii="Times New Roman"/>
          <w:b w:val="false"/>
          <w:i w:val="false"/>
          <w:color w:val="000000"/>
          <w:sz w:val="28"/>
        </w:rPr>
        <w:t>Оңтүстiк Қазақстан облысы Қазығұрт аудандық мәслихатының 2018 жылғы 27 сәуірдегі № 29/193-VI шешiмi. Оңтүстiк Қазақстан облысының Әдiлет департаментiнде 2018 жылғы 14 мамырда № 4596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2016 жылғы 4 наурыздағы № 52/358-V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3644 тіркелген, 2016 жылғы 1 сәуірдегі "Қазығұрт тынысы" газетінде және 2016 жылғы 11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"Қазығұрт аудандық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Жылкыбаев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