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128e" w14:textId="e381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ауданы әкiмдiгiнiң 2018 жылғы 5 сәуірдегі № 120 қаулысы. Оңтүстiк Қазақстан облысының Әдiлет департаментiнде 2018 жылғы 25 сәуірде № 4571 болып тiркелдi. Күші жойылды - Түркістан облысы Қазығұрт ауданы әкiмдiгiнiң 2022 жылғы 25 наурыздағы № 74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ауданы әкiмдiгiнiң 25.03.2022 № 74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27-бабына және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Қазығұрт ауданының әкімдігі ҚАУЛЫ ЕТЕДІ:</w:t>
      </w:r>
    </w:p>
    <w:bookmarkStart w:name="z2" w:id="1"/>
    <w:p>
      <w:pPr>
        <w:spacing w:after="0"/>
        <w:ind w:left="0"/>
        <w:jc w:val="both"/>
      </w:pPr>
      <w:r>
        <w:rPr>
          <w:rFonts w:ascii="Times New Roman"/>
          <w:b w:val="false"/>
          <w:i w:val="false"/>
          <w:color w:val="000000"/>
          <w:sz w:val="28"/>
        </w:rPr>
        <w:t xml:space="preserve">
      1.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Қазығұрт ауданы әкімдігінің 2017 жылғы 13 наурыздағы № 83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4013 болып тіркелген, 2017 жылы 14 сәуірде "Қазығұрт тынысы" газетінде және 2017 жылы 12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"Қазығұрт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қаулының Қазығұрт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Р.Е.Тұрғынбековке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5 сәуірдегі №120</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Қазығұрт аудандық бюджеттен қаржыландырылатын аудан, ауыл, ауылдық округтері әкімдері аппараттары мен атқарушы органдардың"Б" корпусы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(бұдан әрі –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6. Бағалау екі жеке бағыт бойынша жүргізіледі:</w:t>
      </w:r>
    </w:p>
    <w:bookmarkEnd w:id="13"/>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 НМИ анықтау тәртібі</w:t>
      </w:r>
    </w:p>
    <w:bookmarkEnd w:id="16"/>
    <w:bookmarkStart w:name="z19" w:id="1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7"/>
    <w:bookmarkStart w:name="z20" w:id="1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9"/>
    <w:bookmarkStart w:name="z22" w:id="2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 НМИ жетістігін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1" w:id="4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9"/>
    <w:bookmarkStart w:name="z52" w:id="5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50"/>
    <w:bookmarkStart w:name="z53" w:id="5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1"/>
    <w:bookmarkStart w:name="z54" w:id="5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2"/>
    <w:bookmarkStart w:name="z55" w:id="5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3"/>
    <w:bookmarkStart w:name="z56" w:id="5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7" w:id="5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•Шешім қабылдау барысында альтернативті ұсыныс жасайды;</w:t>
            </w:r>
          </w:p>
          <w:p>
            <w:pPr>
              <w:spacing w:after="20"/>
              <w:ind w:left="20"/>
              <w:jc w:val="both"/>
            </w:pPr>
            <w:r>
              <w:rPr>
                <w:rFonts w:ascii="Times New Roman"/>
                <w:b w:val="false"/>
                <w:i w:val="false"/>
                <w:color w:val="000000"/>
                <w:sz w:val="20"/>
              </w:rPr>
              <w:t>•Тиімді және жүйелі шешім қабылдайды;</w:t>
            </w:r>
          </w:p>
          <w:p>
            <w:pPr>
              <w:spacing w:after="20"/>
              <w:ind w:left="20"/>
              <w:jc w:val="both"/>
            </w:pP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r>
              <w:rPr>
                <w:rFonts w:ascii="Times New Roman"/>
                <w:b w:val="false"/>
                <w:i w:val="false"/>
                <w:color w:val="000000"/>
                <w:sz w:val="20"/>
              </w:rPr>
              <w:t>•Тиімсіз және жүйесіз шешім қабылдайды;</w:t>
            </w:r>
          </w:p>
          <w:p>
            <w:pPr>
              <w:spacing w:after="20"/>
              <w:ind w:left="20"/>
              <w:jc w:val="both"/>
            </w:pPr>
            <w:r>
              <w:rPr>
                <w:rFonts w:ascii="Times New Roman"/>
                <w:b w:val="false"/>
                <w:i w:val="false"/>
                <w:color w:val="000000"/>
                <w:sz w:val="20"/>
              </w:rPr>
              <w:t xml:space="preserve">•Шешім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•Қызмет көрсетудің тиімді әдістерін біледі;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•Қызмет көрсетудің әдістері туралы шала-шарпы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xml:space="preserve">•Өзгерістерді уақтылы елеу үшін тиімді шаралар қабылдайды; </w:t>
            </w:r>
          </w:p>
          <w:p>
            <w:pPr>
              <w:spacing w:after="20"/>
              <w:ind w:left="20"/>
              <w:jc w:val="both"/>
            </w:pP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 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