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ed5e" w14:textId="7e3e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қаласы әкiмдігінiң 2018 жылғы 28 сәуірдегі № 140 қаулысы. Оңтүстiк Қазақстан облысының Әдiлет департаментiнде 2018 жылғы 16 мамырда № 4599 болып тiркелдi. Күші жойылды - Түркістан облысы Кентау қаласы әкiмдігінiң 2022 жылғы 12 сәуірдегі № 133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қаласы әкiмдігінiң 12.04.2022 № 133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Кентау қаласының әкімдігі ҚАУЛЫ ЕТЕДІ: </w:t>
      </w:r>
    </w:p>
    <w:bookmarkStart w:name="z2" w:id="1"/>
    <w:p>
      <w:pPr>
        <w:spacing w:after="0"/>
        <w:ind w:left="0"/>
        <w:jc w:val="both"/>
      </w:pPr>
      <w:r>
        <w:rPr>
          <w:rFonts w:ascii="Times New Roman"/>
          <w:b w:val="false"/>
          <w:i w:val="false"/>
          <w:color w:val="000000"/>
          <w:sz w:val="28"/>
        </w:rPr>
        <w:t xml:space="preserve">
      1. "Б"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Кентау қаласы әкімдігінің 2017 жылғы 9 наурыздағы № 56 "Б"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4012 болып тіркелген, 2017 жылғы 15 сәуірдегі "Кентау шұғыласы" газетінде және 2017 жылы 13 сәуірде Қазақстан Республикасының нормавтивтік құқықтық актілердің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"Кентау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Кентау қаласының аумағында таратылатын мерзімді баспа басылымдарында ресми жариялауға жолданылуын қамтамасыз етсін.</w:t>
      </w:r>
    </w:p>
    <w:p>
      <w:pPr>
        <w:spacing w:after="0"/>
        <w:ind w:left="0"/>
        <w:jc w:val="both"/>
      </w:pPr>
      <w:r>
        <w:rPr>
          <w:rFonts w:ascii="Times New Roman"/>
          <w:b w:val="false"/>
          <w:i w:val="false"/>
          <w:color w:val="000000"/>
          <w:sz w:val="28"/>
        </w:rPr>
        <w:t>
      4) ресми жарияланғаннан кейін осы қаулыны Кентау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Кентау қаласы әкімі аппаратының басшысы Б.Алимбетовке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Кентау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Мақұлбаев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2018 жылғы 28 сәуірдегі</w:t>
            </w:r>
            <w:r>
              <w:br/>
            </w:r>
            <w:r>
              <w:rPr>
                <w:rFonts w:ascii="Times New Roman"/>
                <w:b w:val="false"/>
                <w:i w:val="false"/>
                <w:color w:val="000000"/>
                <w:sz w:val="20"/>
              </w:rPr>
              <w:t>№ 140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қала әкімінің шешімімен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қала әкімімен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немесе "А" корпусы қызметшісінің келісімін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шешімге өзгертулер енгізу арқылы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w:t>
            </w:r>
            <w:r>
              <w:br/>
            </w:r>
            <w:r>
              <w:rPr>
                <w:rFonts w:ascii="Times New Roman"/>
                <w:b w:val="false"/>
                <w:i w:val="false"/>
                <w:color w:val="000000"/>
                <w:sz w:val="20"/>
              </w:rPr>
              <w:t>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w:t>
            </w:r>
            <w:r>
              <w:br/>
            </w:r>
            <w:r>
              <w:rPr>
                <w:rFonts w:ascii="Times New Roman"/>
                <w:b w:val="false"/>
                <w:i w:val="false"/>
                <w:color w:val="000000"/>
                <w:sz w:val="20"/>
              </w:rPr>
              <w:t>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w:t>
            </w:r>
            <w:r>
              <w:br/>
            </w:r>
            <w:r>
              <w:rPr>
                <w:rFonts w:ascii="Times New Roman"/>
                <w:b w:val="false"/>
                <w:i w:val="false"/>
                <w:color w:val="000000"/>
                <w:sz w:val="20"/>
              </w:rPr>
              <w:t>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 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w:t>
            </w:r>
            <w:r>
              <w:br/>
            </w:r>
            <w:r>
              <w:rPr>
                <w:rFonts w:ascii="Times New Roman"/>
                <w:b w:val="false"/>
                <w:i w:val="false"/>
                <w:color w:val="000000"/>
                <w:sz w:val="20"/>
              </w:rPr>
              <w:t>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нақты міндеттер қояды және тапсырмалар береді; </w:t>
            </w:r>
          </w:p>
          <w:p>
            <w:pPr>
              <w:spacing w:after="20"/>
              <w:ind w:left="2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нақты міндеттер қоя алмайды және тапсырмалар бере алмайды; </w:t>
            </w: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 </w:t>
            </w:r>
          </w:p>
          <w:p>
            <w:pPr>
              <w:spacing w:after="20"/>
              <w:ind w:left="20"/>
              <w:jc w:val="both"/>
            </w:pPr>
            <w:r>
              <w:rPr>
                <w:rFonts w:ascii="Times New Roman"/>
                <w:b w:val="false"/>
                <w:i w:val="false"/>
                <w:color w:val="000000"/>
                <w:sz w:val="20"/>
              </w:rPr>
              <w:t xml:space="preserve">Қойылған міндеттерге қол жеткізу үшін әрбір қызметкердің әлеуетін пайдаланады; </w:t>
            </w:r>
          </w:p>
          <w:p>
            <w:pPr>
              <w:spacing w:after="20"/>
              <w:ind w:left="20"/>
              <w:jc w:val="both"/>
            </w:pPr>
            <w:r>
              <w:rPr>
                <w:rFonts w:ascii="Times New Roman"/>
                <w:b w:val="false"/>
                <w:i w:val="false"/>
                <w:color w:val="000000"/>
                <w:sz w:val="20"/>
              </w:rPr>
              <w:t xml:space="preserve">Басқа бөлімшелермен бірлесіп жоспарды жүзеге асырады және ортақ нәтижеге қол жеткізеді.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xml:space="preserve">Қойылған міндеттерге қол жеткізу үшін кейбір қызметкерлердің әлеуетін пайдаланады; </w:t>
            </w:r>
          </w:p>
          <w:p>
            <w:pPr>
              <w:spacing w:after="20"/>
              <w:ind w:left="20"/>
              <w:jc w:val="both"/>
            </w:pPr>
            <w:r>
              <w:rPr>
                <w:rFonts w:ascii="Times New Roman"/>
                <w:b w:val="false"/>
                <w:i w:val="false"/>
                <w:color w:val="000000"/>
                <w:sz w:val="20"/>
              </w:rPr>
              <w:t xml:space="preserve">Басқа бөлімшелермен бірлесіп жоспарды жүзеге асыра алмайды және ортақ нәтижеге қол жеткізбейді.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xml:space="preserve">Шешім қабылдау барысында альтернативті ұсыныс жасайды; </w:t>
            </w:r>
          </w:p>
          <w:p>
            <w:pPr>
              <w:spacing w:after="20"/>
              <w:ind w:left="20"/>
              <w:jc w:val="both"/>
            </w:pPr>
            <w:r>
              <w:rPr>
                <w:rFonts w:ascii="Times New Roman"/>
                <w:b w:val="false"/>
                <w:i w:val="false"/>
                <w:color w:val="000000"/>
                <w:sz w:val="20"/>
              </w:rPr>
              <w:t xml:space="preserve">Тиімді және жүйелі шешім қабылдайды; </w:t>
            </w:r>
          </w:p>
          <w:p>
            <w:pPr>
              <w:spacing w:after="20"/>
              <w:ind w:left="20"/>
              <w:jc w:val="both"/>
            </w:pPr>
            <w:r>
              <w:rPr>
                <w:rFonts w:ascii="Times New Roman"/>
                <w:b w:val="false"/>
                <w:i w:val="false"/>
                <w:color w:val="000000"/>
                <w:sz w:val="20"/>
              </w:rPr>
              <w:t xml:space="preserve">Жеке тәжірибесіне, басқа дамаңызды болып табылатын мәліметтерге негізделген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 xml:space="preserve">Шешім қабылдау барысында альтернативті ұсыныс жасамайды; </w:t>
            </w:r>
          </w:p>
          <w:p>
            <w:pPr>
              <w:spacing w:after="20"/>
              <w:ind w:left="20"/>
              <w:jc w:val="both"/>
            </w:pPr>
            <w:r>
              <w:rPr>
                <w:rFonts w:ascii="Times New Roman"/>
                <w:b w:val="false"/>
                <w:i w:val="false"/>
                <w:color w:val="000000"/>
                <w:sz w:val="20"/>
              </w:rPr>
              <w:t xml:space="preserve">Тиімсіз және жүйесіз шешім қабылдайды; </w:t>
            </w:r>
          </w:p>
          <w:p>
            <w:pPr>
              <w:spacing w:after="20"/>
              <w:ind w:left="2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Қызмет көрсетудің тиімді әдістерін біледі; </w:t>
            </w: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xml:space="preserve">Қызмет тұтынушылардың қанағаттанушылығына талдау жүргізеді және қызмет көрсетуді жетілдірудің жолдарын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Қызмет көрсетудің әдістері туралы шала-шарпы біледі; </w:t>
            </w: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xml:space="preserve">Көрсетілетін қызмет бойынша тұтынушылардың қанағаттанушылығына талдау жүргізбейді және қызмет көрсетуді жетілдірудің жолдарын қарастырмайды.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xml:space="preserve">Қызмет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уақытылы жеткізеді; </w:t>
            </w:r>
          </w:p>
          <w:p>
            <w:pPr>
              <w:spacing w:after="20"/>
              <w:ind w:left="2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r>
              <w:rPr>
                <w:rFonts w:ascii="Times New Roman"/>
                <w:b w:val="false"/>
                <w:i w:val="false"/>
                <w:color w:val="000000"/>
                <w:sz w:val="20"/>
              </w:rPr>
              <w:t xml:space="preserve">Бөлімшені тиімді басқарады және ішкі және сыртқы өзгерістер кезінде нәтижеге қол жеткізеді; </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xml:space="preserve">Бөлімшені тиімсіз басқарады және ішкі және сыртқы өзгерістер кезінде нәтижеге қол жеткізбейді; </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xml:space="preserve">Өзгерістерді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 қызметкерлерді жоғарылату туралы ұсыныстарды қарастырып, енгізеді. </w:t>
            </w:r>
          </w:p>
          <w:p>
            <w:pPr>
              <w:spacing w:after="20"/>
              <w:ind w:left="20"/>
              <w:jc w:val="both"/>
            </w:pPr>
            <w:r>
              <w:rPr>
                <w:rFonts w:ascii="Times New Roman"/>
                <w:b w:val="false"/>
                <w:i w:val="false"/>
                <w:color w:val="000000"/>
                <w:sz w:val="20"/>
              </w:rPr>
              <w:t xml:space="preserve">Қызметкерлерді дамыту бойынша жүйелі шараларды қабылдайды; </w:t>
            </w:r>
          </w:p>
          <w:p>
            <w:pPr>
              <w:spacing w:after="20"/>
              <w:ind w:left="20"/>
              <w:jc w:val="both"/>
            </w:pPr>
            <w:r>
              <w:rPr>
                <w:rFonts w:ascii="Times New Roman"/>
                <w:b w:val="false"/>
                <w:i w:val="false"/>
                <w:color w:val="000000"/>
                <w:sz w:val="20"/>
              </w:rPr>
              <w:t xml:space="preserve">Әріптестерімен жинақталған тәжірибесімен, білімімен бөліседі, сондай-ақ, олардың даму деңгейін анықтайды; </w:t>
            </w:r>
          </w:p>
          <w:p>
            <w:pPr>
              <w:spacing w:after="20"/>
              <w:ind w:left="20"/>
              <w:jc w:val="both"/>
            </w:pPr>
            <w:r>
              <w:rPr>
                <w:rFonts w:ascii="Times New Roman"/>
                <w:b w:val="false"/>
                <w:i w:val="false"/>
                <w:color w:val="000000"/>
                <w:sz w:val="20"/>
              </w:rPr>
              <w:t xml:space="preserve">Өздігінен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xml:space="preserve">Қызметкерлерді дамыту бойынша жүйелі шараларды қабылдамайды немесе жүйесіз шараларды қабылдайды; </w:t>
            </w:r>
          </w:p>
          <w:p>
            <w:pPr>
              <w:spacing w:after="20"/>
              <w:ind w:left="20"/>
              <w:jc w:val="both"/>
            </w:pPr>
            <w:r>
              <w:rPr>
                <w:rFonts w:ascii="Times New Roman"/>
                <w:b w:val="false"/>
                <w:i w:val="false"/>
                <w:color w:val="000000"/>
                <w:sz w:val="20"/>
              </w:rPr>
              <w:t xml:space="preserve">Әріптестерімен жинақталған тәжірибесімен, білімімен бөліспейді, сондай-ақ, олардың даму деңгейін анықтамайды; </w:t>
            </w:r>
          </w:p>
          <w:p>
            <w:pPr>
              <w:spacing w:after="20"/>
              <w:ind w:left="20"/>
              <w:jc w:val="both"/>
            </w:pPr>
            <w:r>
              <w:rPr>
                <w:rFonts w:ascii="Times New Roman"/>
                <w:b w:val="false"/>
                <w:i w:val="false"/>
                <w:color w:val="000000"/>
                <w:sz w:val="20"/>
              </w:rPr>
              <w:t xml:space="preserve">Өздігінен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xml:space="preserve">Тәжірибеде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xml:space="preserve">Ұжымда мемлекеттік қызметтің әдептілік нормалары мен стандарттарына берілгендік деңгейін дамытады; </w:t>
            </w: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xml:space="preserve">Әдептілік нормалардың бұзылғандығын елеп ескереді және анықтайды; </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Ұжымның мүддесін өз мүддесінен жоғары қояды; </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Өз мүддесін ұжым мүддесінен жоғары қояды; </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xml:space="preserve">Ұжымдағы сыйластық пен сенім ахуалын қалыптастырмайды; </w:t>
            </w:r>
          </w:p>
          <w:p>
            <w:pPr>
              <w:spacing w:after="20"/>
              <w:ind w:left="20"/>
              <w:jc w:val="both"/>
            </w:pP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w:t>
            </w:r>
            <w:r>
              <w:br/>
            </w:r>
            <w:r>
              <w:rPr>
                <w:rFonts w:ascii="Times New Roman"/>
                <w:b w:val="false"/>
                <w:i w:val="false"/>
                <w:color w:val="000000"/>
                <w:sz w:val="20"/>
              </w:rPr>
              <w:t>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