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7e1228" w14:textId="c7e122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Оңтүстік Қазақстан облысы әкімдігінің 2017 жылғы 24 шілдедегі № 200 "Су қорғау аймақтары, белдеулері, олардың шаруашылық пайдаланудың режимі мен ерекше жағдайлары туралы" қаулысына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Оңтүстiк Қазақстан облысы әкiмдiгiнiң 2018 жылғы 19 маусымдағы № 182 қаулысы. Оңтүстiк Қазақстан облысының Әдiлет департаментiнде 2018 жылғы 4 шілдеде № 4664 болып тiркелдi. Күші жойылды - Түркістан облысы әкiмдiгiнiң 2026 жылғы 22 қаңтардағы № 23 қаулысымен</w:t>
      </w:r>
    </w:p>
    <w:p>
      <w:pPr>
        <w:spacing w:after="0"/>
        <w:ind w:left="0"/>
        <w:jc w:val="left"/>
      </w:pPr>
    </w:p>
    <w:p>
      <w:pPr>
        <w:spacing w:after="0"/>
        <w:ind w:left="0"/>
        <w:jc w:val="both"/>
      </w:pPr>
      <w:r>
        <w:rPr>
          <w:rFonts w:ascii="Times New Roman"/>
          <w:b w:val="false"/>
          <w:i w:val="false"/>
          <w:color w:val="ff0000"/>
          <w:sz w:val="28"/>
        </w:rPr>
        <w:t xml:space="preserve">
      Күші жойылды - Түркістан облысы әкiмдiгiнiң 2026 жылғы 22 қаңтардағы </w:t>
      </w:r>
      <w:r>
        <w:rPr>
          <w:rFonts w:ascii="Times New Roman"/>
          <w:b w:val="false"/>
          <w:i w:val="false"/>
          <w:color w:val="ff0000"/>
          <w:sz w:val="28"/>
        </w:rPr>
        <w:t>№ 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Республикасының 2003 жылғы 9 шілдедегі Су кодексінің </w:t>
      </w:r>
      <w:r>
        <w:rPr>
          <w:rFonts w:ascii="Times New Roman"/>
          <w:b w:val="false"/>
          <w:i w:val="false"/>
          <w:color w:val="000000"/>
          <w:sz w:val="28"/>
        </w:rPr>
        <w:t>39 бабына</w:t>
      </w:r>
      <w:r>
        <w:rPr>
          <w:rFonts w:ascii="Times New Roman"/>
          <w:b w:val="false"/>
          <w:i w:val="false"/>
          <w:color w:val="000000"/>
          <w:sz w:val="28"/>
        </w:rPr>
        <w:t xml:space="preserve">, </w:t>
      </w:r>
      <w:r>
        <w:rPr>
          <w:rFonts w:ascii="Times New Roman"/>
          <w:b w:val="false"/>
          <w:i w:val="false"/>
          <w:color w:val="000000"/>
          <w:sz w:val="28"/>
        </w:rPr>
        <w:t>116-бабының</w:t>
      </w:r>
      <w:r>
        <w:rPr>
          <w:rFonts w:ascii="Times New Roman"/>
          <w:b w:val="false"/>
          <w:i w:val="false"/>
          <w:color w:val="000000"/>
          <w:sz w:val="28"/>
        </w:rPr>
        <w:t xml:space="preserve"> 2-тармағына, "Қазақстан Республикасындағы жергілікті мемлекеттік басқару және өзін-өзі басқару туралы" Қазақстан Республикасының 2001 жылғы 23 қаңтардағы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Оңтүстік Қазақстан облысының әкімдігі ҚАУЛЫ ЕТЕДІ:</w:t>
      </w:r>
    </w:p>
    <w:bookmarkStart w:name="z2" w:id="0"/>
    <w:p>
      <w:pPr>
        <w:spacing w:after="0"/>
        <w:ind w:left="0"/>
        <w:jc w:val="both"/>
      </w:pPr>
      <w:r>
        <w:rPr>
          <w:rFonts w:ascii="Times New Roman"/>
          <w:b w:val="false"/>
          <w:i w:val="false"/>
          <w:color w:val="000000"/>
          <w:sz w:val="28"/>
        </w:rPr>
        <w:t xml:space="preserve">
      1. Оңтүстiк Қазақстан облысы әкімдігінің 2017 жылғы 24 шілдедегі № 200 "Су қорғау аймақтары, белдеулері, олардың шаруашылық пайдаланудың режимі мен ерекше жағдайлары туралы" (Нормативтік құқықтық актілерді мемлекеттік тіркеу тізілімінде 4186-нөмірімен тіркелген, 2017 жылғы 16 тамызда "Оңтүстік Қазақстан" газетінде және 2017 жылғы 22 тамызда Қазақстан Республикасының нормативтік құқықтық актілерінің эталондық бақылау банкінде электрондық түрде жарияланған) </w:t>
      </w:r>
      <w:r>
        <w:rPr>
          <w:rFonts w:ascii="Times New Roman"/>
          <w:b w:val="false"/>
          <w:i w:val="false"/>
          <w:color w:val="000000"/>
          <w:sz w:val="28"/>
        </w:rPr>
        <w:t>қаулысына</w:t>
      </w:r>
      <w:r>
        <w:rPr>
          <w:rFonts w:ascii="Times New Roman"/>
          <w:b w:val="false"/>
          <w:i w:val="false"/>
          <w:color w:val="000000"/>
          <w:sz w:val="28"/>
        </w:rPr>
        <w:t xml:space="preserve"> мынадай толықтырулар енгізілсін:</w:t>
      </w:r>
    </w:p>
    <w:bookmarkEnd w:id="0"/>
    <w:bookmarkStart w:name="z3" w:id="1"/>
    <w:p>
      <w:pPr>
        <w:spacing w:after="0"/>
        <w:ind w:left="0"/>
        <w:jc w:val="both"/>
      </w:pPr>
      <w:r>
        <w:rPr>
          <w:rFonts w:ascii="Times New Roman"/>
          <w:b w:val="false"/>
          <w:i w:val="false"/>
          <w:color w:val="000000"/>
          <w:sz w:val="28"/>
        </w:rPr>
        <w:t xml:space="preserve">
      көрсетілген қаулының "Оңтүстік Қазақстан облысының су нысандары мен су шаруашылығы құрылымдарының су қорғау аймақтары мен белдеулері" - деген </w:t>
      </w:r>
      <w:r>
        <w:rPr>
          <w:rFonts w:ascii="Times New Roman"/>
          <w:b w:val="false"/>
          <w:i w:val="false"/>
          <w:color w:val="000000"/>
          <w:sz w:val="28"/>
        </w:rPr>
        <w:t>1-қосымшадағы</w:t>
      </w:r>
      <w:r>
        <w:rPr>
          <w:rFonts w:ascii="Times New Roman"/>
          <w:b w:val="false"/>
          <w:i w:val="false"/>
          <w:color w:val="000000"/>
          <w:sz w:val="28"/>
        </w:rPr>
        <w:t xml:space="preserve"> кесте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159-181 жолдарымен толықтырылсын.</w:t>
      </w:r>
    </w:p>
    <w:bookmarkEnd w:id="1"/>
    <w:bookmarkStart w:name="z4" w:id="2"/>
    <w:p>
      <w:pPr>
        <w:spacing w:after="0"/>
        <w:ind w:left="0"/>
        <w:jc w:val="both"/>
      </w:pPr>
      <w:r>
        <w:rPr>
          <w:rFonts w:ascii="Times New Roman"/>
          <w:b w:val="false"/>
          <w:i w:val="false"/>
          <w:color w:val="000000"/>
          <w:sz w:val="28"/>
        </w:rPr>
        <w:t>
      2. "Оңтүстiк Қазақстан облысы әкімінің аппараты" мемлекеттік мекемесі Қазақстан Республикасының заңнамалық актілерінде белгіленген тәртіппен:</w:t>
      </w:r>
    </w:p>
    <w:bookmarkEnd w:id="2"/>
    <w:bookmarkStart w:name="z8" w:id="3"/>
    <w:p>
      <w:pPr>
        <w:spacing w:after="0"/>
        <w:ind w:left="0"/>
        <w:jc w:val="both"/>
      </w:pPr>
      <w:r>
        <w:rPr>
          <w:rFonts w:ascii="Times New Roman"/>
          <w:b w:val="false"/>
          <w:i w:val="false"/>
          <w:color w:val="000000"/>
          <w:sz w:val="28"/>
        </w:rPr>
        <w:t>
      1) осы қаулыны аумақтық әділет органында мемлекеттік тіркеуді;</w:t>
      </w:r>
    </w:p>
    <w:bookmarkEnd w:id="3"/>
    <w:bookmarkStart w:name="z9" w:id="4"/>
    <w:p>
      <w:pPr>
        <w:spacing w:after="0"/>
        <w:ind w:left="0"/>
        <w:jc w:val="both"/>
      </w:pPr>
      <w:r>
        <w:rPr>
          <w:rFonts w:ascii="Times New Roman"/>
          <w:b w:val="false"/>
          <w:i w:val="false"/>
          <w:color w:val="000000"/>
          <w:sz w:val="28"/>
        </w:rPr>
        <w:t>
      2) осы қаулыны мемлекеттік тіркелген күннен бастап күнтізбелік он күн ішінде оның көшірмесін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10" w:id="5"/>
    <w:p>
      <w:pPr>
        <w:spacing w:after="0"/>
        <w:ind w:left="0"/>
        <w:jc w:val="both"/>
      </w:pPr>
      <w:r>
        <w:rPr>
          <w:rFonts w:ascii="Times New Roman"/>
          <w:b w:val="false"/>
          <w:i w:val="false"/>
          <w:color w:val="000000"/>
          <w:sz w:val="28"/>
        </w:rPr>
        <w:t>
      3) осы қаулыны мемлекеттік тіркелген күннен бастап күнтізбелік он күн ішінде оның көшірмесін ресми жариялау үшін Оңтүстік Қазақстан облысында таралатын мерзімді басылымдарға жіберуді;</w:t>
      </w:r>
    </w:p>
    <w:bookmarkEnd w:id="5"/>
    <w:bookmarkStart w:name="z11" w:id="6"/>
    <w:p>
      <w:pPr>
        <w:spacing w:after="0"/>
        <w:ind w:left="0"/>
        <w:jc w:val="both"/>
      </w:pPr>
      <w:r>
        <w:rPr>
          <w:rFonts w:ascii="Times New Roman"/>
          <w:b w:val="false"/>
          <w:i w:val="false"/>
          <w:color w:val="000000"/>
          <w:sz w:val="28"/>
        </w:rPr>
        <w:t>
      4) осы қаулыны оның ресми жариялағаннан кейін Оңтүстік Қазақстан облысы әкімдігінің интернет-ресурсында орналастыруды қамтамасыз етсін.</w:t>
      </w:r>
    </w:p>
    <w:bookmarkEnd w:id="6"/>
    <w:bookmarkStart w:name="z5" w:id="7"/>
    <w:p>
      <w:pPr>
        <w:spacing w:after="0"/>
        <w:ind w:left="0"/>
        <w:jc w:val="both"/>
      </w:pPr>
      <w:r>
        <w:rPr>
          <w:rFonts w:ascii="Times New Roman"/>
          <w:b w:val="false"/>
          <w:i w:val="false"/>
          <w:color w:val="000000"/>
          <w:sz w:val="28"/>
        </w:rPr>
        <w:t>
      3. Осы қаулының орындалуын бақылау облыс әкiмiнiң орынбасары Е.Қ.Тасжүрековке жүктелсiн.</w:t>
      </w:r>
    </w:p>
    <w:bookmarkEnd w:id="7"/>
    <w:bookmarkStart w:name="z6" w:id="8"/>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Ж.Түймебаев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Ә.Ш.Өсербаев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Ә.Е.Тұрғымбеков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Е.Ә.Садыр</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Ұ.Сәдібеков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Т.Қ.Сәрсембаев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Е.Қ.Тасжүреков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А.С.Сәбитов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А.Б.Тасыбаев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 Ауыл шаруашылығы</w:t>
            </w:r>
          </w:p>
          <w:p>
            <w:pPr>
              <w:spacing w:after="20"/>
              <w:ind w:left="20"/>
              <w:jc w:val="both"/>
            </w:pPr>
            <w:r>
              <w:rPr>
                <w:rFonts w:ascii="Times New Roman"/>
                <w:b w:val="false"/>
                <w:i/>
                <w:color w:val="000000"/>
                <w:sz w:val="20"/>
              </w:rPr>
              <w:t>министрлігі Су ресурстары комитетінің</w:t>
            </w:r>
          </w:p>
          <w:p>
            <w:pPr>
              <w:spacing w:after="20"/>
              <w:ind w:left="20"/>
              <w:jc w:val="both"/>
            </w:pPr>
            <w:r>
              <w:rPr>
                <w:rFonts w:ascii="Times New Roman"/>
                <w:b w:val="false"/>
                <w:i/>
                <w:color w:val="000000"/>
                <w:sz w:val="20"/>
              </w:rPr>
              <w:t>Су ресурстарын пайдалануды реттеу</w:t>
            </w:r>
          </w:p>
          <w:p>
            <w:pPr>
              <w:spacing w:after="20"/>
              <w:ind w:left="20"/>
              <w:jc w:val="both"/>
            </w:pPr>
            <w:r>
              <w:rPr>
                <w:rFonts w:ascii="Times New Roman"/>
                <w:b w:val="false"/>
                <w:i/>
                <w:color w:val="000000"/>
                <w:sz w:val="20"/>
              </w:rPr>
              <w:t>және қорғау жөніндегі Шу-Талас</w:t>
            </w:r>
          </w:p>
          <w:p>
            <w:pPr>
              <w:spacing w:after="20"/>
              <w:ind w:left="20"/>
              <w:jc w:val="both"/>
            </w:pPr>
            <w:r>
              <w:rPr>
                <w:rFonts w:ascii="Times New Roman"/>
                <w:b w:val="false"/>
                <w:i/>
                <w:color w:val="000000"/>
                <w:sz w:val="20"/>
              </w:rPr>
              <w:t>бассейндік инспекциясы" республикалық</w:t>
            </w:r>
          </w:p>
          <w:p>
            <w:pPr>
              <w:spacing w:after="20"/>
              <w:ind w:left="20"/>
              <w:jc w:val="both"/>
            </w:pPr>
            <w:r>
              <w:rPr>
                <w:rFonts w:ascii="Times New Roman"/>
                <w:b w:val="false"/>
                <w:i/>
                <w:color w:val="000000"/>
                <w:sz w:val="20"/>
              </w:rPr>
              <w:t>мемлекеттік мекемесінің басшысының м.а.</w:t>
            </w:r>
          </w:p>
          <w:p>
            <w:pPr>
              <w:spacing w:after="20"/>
              <w:ind w:left="20"/>
              <w:jc w:val="both"/>
            </w:pPr>
            <w:r>
              <w:rPr>
                <w:rFonts w:ascii="Times New Roman"/>
                <w:b w:val="false"/>
                <w:i/>
                <w:color w:val="000000"/>
                <w:sz w:val="20"/>
              </w:rPr>
              <w:t>____________________А.А.Дәуренбеков</w:t>
            </w:r>
          </w:p>
          <w:p>
            <w:pPr>
              <w:spacing w:after="20"/>
              <w:ind w:left="20"/>
              <w:jc w:val="both"/>
            </w:pPr>
            <w:r>
              <w:rPr>
                <w:rFonts w:ascii="Times New Roman"/>
                <w:b w:val="false"/>
                <w:i/>
                <w:color w:val="000000"/>
                <w:sz w:val="20"/>
              </w:rPr>
              <w:t>"19" 06 2018 жыл</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 Денсаулық сақтау</w:t>
            </w:r>
          </w:p>
          <w:p>
            <w:pPr>
              <w:spacing w:after="20"/>
              <w:ind w:left="20"/>
              <w:jc w:val="both"/>
            </w:pPr>
            <w:r>
              <w:rPr>
                <w:rFonts w:ascii="Times New Roman"/>
                <w:b w:val="false"/>
                <w:i/>
                <w:color w:val="000000"/>
                <w:sz w:val="20"/>
              </w:rPr>
              <w:t>министрлігі Қоғамдық денсаулық сақтау</w:t>
            </w:r>
          </w:p>
          <w:p>
            <w:pPr>
              <w:spacing w:after="20"/>
              <w:ind w:left="20"/>
              <w:jc w:val="both"/>
            </w:pPr>
            <w:r>
              <w:rPr>
                <w:rFonts w:ascii="Times New Roman"/>
                <w:b w:val="false"/>
                <w:i/>
                <w:color w:val="000000"/>
                <w:sz w:val="20"/>
              </w:rPr>
              <w:t>комитетінің Оңтүстік Қазақстан облысы</w:t>
            </w:r>
          </w:p>
          <w:p>
            <w:pPr>
              <w:spacing w:after="20"/>
              <w:ind w:left="20"/>
              <w:jc w:val="both"/>
            </w:pPr>
            <w:r>
              <w:rPr>
                <w:rFonts w:ascii="Times New Roman"/>
                <w:b w:val="false"/>
                <w:i/>
                <w:color w:val="000000"/>
                <w:sz w:val="20"/>
              </w:rPr>
              <w:t>Қоғамдық денсаулық сақтау департаментінің</w:t>
            </w:r>
          </w:p>
          <w:p>
            <w:pPr>
              <w:spacing w:after="20"/>
              <w:ind w:left="20"/>
              <w:jc w:val="both"/>
            </w:pPr>
            <w:r>
              <w:rPr>
                <w:rFonts w:ascii="Times New Roman"/>
                <w:b w:val="false"/>
                <w:i/>
                <w:color w:val="000000"/>
                <w:sz w:val="20"/>
              </w:rPr>
              <w:t>басшысы</w:t>
            </w:r>
          </w:p>
          <w:p>
            <w:pPr>
              <w:spacing w:after="20"/>
              <w:ind w:left="20"/>
              <w:jc w:val="both"/>
            </w:pPr>
            <w:r>
              <w:rPr>
                <w:rFonts w:ascii="Times New Roman"/>
                <w:b w:val="false"/>
                <w:i/>
                <w:color w:val="000000"/>
                <w:sz w:val="20"/>
              </w:rPr>
              <w:t>____________________Н.С.Нышанов</w:t>
            </w:r>
          </w:p>
          <w:p>
            <w:pPr>
              <w:spacing w:after="20"/>
              <w:ind w:left="20"/>
              <w:jc w:val="both"/>
            </w:pPr>
            <w:r>
              <w:rPr>
                <w:rFonts w:ascii="Times New Roman"/>
                <w:b w:val="false"/>
                <w:i/>
                <w:color w:val="000000"/>
                <w:sz w:val="20"/>
              </w:rPr>
              <w:t>"19" 06 2018 жыл</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Оңтүстік Қазақстан облысы</w:t>
            </w:r>
            <w:r>
              <w:br/>
            </w:r>
            <w:r>
              <w:rPr>
                <w:rFonts w:ascii="Times New Roman"/>
                <w:b w:val="false"/>
                <w:i w:val="false"/>
                <w:color w:val="000000"/>
                <w:sz w:val="20"/>
              </w:rPr>
              <w:t>әкімдігінің 2018 жылғы "19"</w:t>
            </w:r>
            <w:r>
              <w:br/>
            </w:r>
            <w:r>
              <w:rPr>
                <w:rFonts w:ascii="Times New Roman"/>
                <w:b w:val="false"/>
                <w:i w:val="false"/>
                <w:color w:val="000000"/>
                <w:sz w:val="20"/>
              </w:rPr>
              <w:t>маусымдағы № 182 қаулысына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Оңтүстік Қазақстан облысы</w:t>
            </w:r>
            <w:r>
              <w:br/>
            </w:r>
            <w:r>
              <w:rPr>
                <w:rFonts w:ascii="Times New Roman"/>
                <w:b w:val="false"/>
                <w:i w:val="false"/>
                <w:color w:val="000000"/>
                <w:sz w:val="20"/>
              </w:rPr>
              <w:t>әкімдігінің 2017 жылғы "24"</w:t>
            </w:r>
            <w:r>
              <w:br/>
            </w:r>
            <w:r>
              <w:rPr>
                <w:rFonts w:ascii="Times New Roman"/>
                <w:b w:val="false"/>
                <w:i w:val="false"/>
                <w:color w:val="000000"/>
                <w:sz w:val="20"/>
              </w:rPr>
              <w:t>шілдедегі № 200 қаулысына</w:t>
            </w:r>
            <w:r>
              <w:br/>
            </w:r>
            <w:r>
              <w:rPr>
                <w:rFonts w:ascii="Times New Roman"/>
                <w:b w:val="false"/>
                <w:i w:val="false"/>
                <w:color w:val="000000"/>
                <w:sz w:val="20"/>
              </w:rPr>
              <w:t>1 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өзені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Созақ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Біресек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0-2 – 100</w:t>
            </w:r>
          </w:p>
          <w:p>
            <w:pPr>
              <w:spacing w:after="20"/>
              <w:ind w:left="20"/>
              <w:jc w:val="both"/>
            </w:pPr>
            <w:r>
              <w:rPr>
                <w:rFonts w:ascii="Times New Roman"/>
                <w:b w:val="false"/>
                <w:i w:val="false"/>
                <w:color w:val="000000"/>
                <w:sz w:val="20"/>
              </w:rPr>
              <w:t>ПК 2-3 – 35</w:t>
            </w:r>
          </w:p>
          <w:p>
            <w:pPr>
              <w:spacing w:after="20"/>
              <w:ind w:left="20"/>
              <w:jc w:val="both"/>
            </w:pPr>
            <w:r>
              <w:rPr>
                <w:rFonts w:ascii="Times New Roman"/>
                <w:b w:val="false"/>
                <w:i w:val="false"/>
                <w:color w:val="000000"/>
                <w:sz w:val="20"/>
              </w:rPr>
              <w:t>ПК 3-4 – 100</w:t>
            </w:r>
          </w:p>
          <w:p>
            <w:pPr>
              <w:spacing w:after="20"/>
              <w:ind w:left="20"/>
              <w:jc w:val="both"/>
            </w:pPr>
            <w:r>
              <w:rPr>
                <w:rFonts w:ascii="Times New Roman"/>
                <w:b w:val="false"/>
                <w:i w:val="false"/>
                <w:color w:val="000000"/>
                <w:sz w:val="20"/>
              </w:rPr>
              <w:t>ПК 4-5 – 35</w:t>
            </w:r>
          </w:p>
          <w:p>
            <w:pPr>
              <w:spacing w:after="20"/>
              <w:ind w:left="20"/>
              <w:jc w:val="both"/>
            </w:pPr>
            <w:r>
              <w:rPr>
                <w:rFonts w:ascii="Times New Roman"/>
                <w:b w:val="false"/>
                <w:i w:val="false"/>
                <w:color w:val="000000"/>
                <w:sz w:val="20"/>
              </w:rPr>
              <w:t>ПК 5-6 – 100</w:t>
            </w:r>
          </w:p>
          <w:p>
            <w:pPr>
              <w:spacing w:after="20"/>
              <w:ind w:left="20"/>
              <w:jc w:val="both"/>
            </w:pPr>
            <w:r>
              <w:rPr>
                <w:rFonts w:ascii="Times New Roman"/>
                <w:b w:val="false"/>
                <w:i w:val="false"/>
                <w:color w:val="000000"/>
                <w:sz w:val="20"/>
              </w:rPr>
              <w:t>ПК 6-7 – 35</w:t>
            </w:r>
          </w:p>
          <w:p>
            <w:pPr>
              <w:spacing w:after="20"/>
              <w:ind w:left="20"/>
              <w:jc w:val="both"/>
            </w:pPr>
            <w:r>
              <w:rPr>
                <w:rFonts w:ascii="Times New Roman"/>
                <w:b w:val="false"/>
                <w:i w:val="false"/>
                <w:color w:val="000000"/>
                <w:sz w:val="20"/>
              </w:rPr>
              <w:t>ПК 7-22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0-2 – 100</w:t>
            </w:r>
          </w:p>
          <w:p>
            <w:pPr>
              <w:spacing w:after="20"/>
              <w:ind w:left="20"/>
              <w:jc w:val="both"/>
            </w:pPr>
            <w:r>
              <w:rPr>
                <w:rFonts w:ascii="Times New Roman"/>
                <w:b w:val="false"/>
                <w:i w:val="false"/>
                <w:color w:val="000000"/>
                <w:sz w:val="20"/>
              </w:rPr>
              <w:t>ПК 2-3 – 35</w:t>
            </w:r>
          </w:p>
          <w:p>
            <w:pPr>
              <w:spacing w:after="20"/>
              <w:ind w:left="20"/>
              <w:jc w:val="both"/>
            </w:pPr>
            <w:r>
              <w:rPr>
                <w:rFonts w:ascii="Times New Roman"/>
                <w:b w:val="false"/>
                <w:i w:val="false"/>
                <w:color w:val="000000"/>
                <w:sz w:val="20"/>
              </w:rPr>
              <w:t>ПК 3-5 – 35</w:t>
            </w:r>
          </w:p>
          <w:p>
            <w:pPr>
              <w:spacing w:after="20"/>
              <w:ind w:left="20"/>
              <w:jc w:val="both"/>
            </w:pPr>
            <w:r>
              <w:rPr>
                <w:rFonts w:ascii="Times New Roman"/>
                <w:b w:val="false"/>
                <w:i w:val="false"/>
                <w:color w:val="000000"/>
                <w:sz w:val="20"/>
              </w:rPr>
              <w:t>ПК 5-6 – 100</w:t>
            </w:r>
          </w:p>
          <w:p>
            <w:pPr>
              <w:spacing w:after="20"/>
              <w:ind w:left="20"/>
              <w:jc w:val="both"/>
            </w:pPr>
            <w:r>
              <w:rPr>
                <w:rFonts w:ascii="Times New Roman"/>
                <w:b w:val="false"/>
                <w:i w:val="false"/>
                <w:color w:val="000000"/>
                <w:sz w:val="20"/>
              </w:rPr>
              <w:t>ПК 6-7 – 35</w:t>
            </w:r>
          </w:p>
          <w:p>
            <w:pPr>
              <w:spacing w:after="20"/>
              <w:ind w:left="20"/>
              <w:jc w:val="both"/>
            </w:pPr>
            <w:r>
              <w:rPr>
                <w:rFonts w:ascii="Times New Roman"/>
                <w:b w:val="false"/>
                <w:i w:val="false"/>
                <w:color w:val="000000"/>
                <w:sz w:val="20"/>
              </w:rPr>
              <w:t>ПК 7-22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Балаторлан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0-12– 100</w:t>
            </w:r>
          </w:p>
          <w:p>
            <w:pPr>
              <w:spacing w:after="20"/>
              <w:ind w:left="20"/>
              <w:jc w:val="both"/>
            </w:pPr>
            <w:r>
              <w:rPr>
                <w:rFonts w:ascii="Times New Roman"/>
                <w:b w:val="false"/>
                <w:i w:val="false"/>
                <w:color w:val="000000"/>
                <w:sz w:val="20"/>
              </w:rPr>
              <w:t>ПК 12-17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0-12– 100</w:t>
            </w:r>
          </w:p>
          <w:p>
            <w:pPr>
              <w:spacing w:after="20"/>
              <w:ind w:left="20"/>
              <w:jc w:val="both"/>
            </w:pPr>
            <w:r>
              <w:rPr>
                <w:rFonts w:ascii="Times New Roman"/>
                <w:b w:val="false"/>
                <w:i w:val="false"/>
                <w:color w:val="000000"/>
                <w:sz w:val="20"/>
              </w:rPr>
              <w:t>ПК 12-17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Торлан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Шолаққорған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Үштөбе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0-7 – 100</w:t>
            </w:r>
          </w:p>
          <w:p>
            <w:pPr>
              <w:spacing w:after="20"/>
              <w:ind w:left="20"/>
              <w:jc w:val="both"/>
            </w:pPr>
            <w:r>
              <w:rPr>
                <w:rFonts w:ascii="Times New Roman"/>
                <w:b w:val="false"/>
                <w:i w:val="false"/>
                <w:color w:val="000000"/>
                <w:sz w:val="20"/>
              </w:rPr>
              <w:t>ПК 7-8 – 35</w:t>
            </w:r>
          </w:p>
          <w:p>
            <w:pPr>
              <w:spacing w:after="20"/>
              <w:ind w:left="20"/>
              <w:jc w:val="both"/>
            </w:pPr>
            <w:r>
              <w:rPr>
                <w:rFonts w:ascii="Times New Roman"/>
                <w:b w:val="false"/>
                <w:i w:val="false"/>
                <w:color w:val="000000"/>
                <w:sz w:val="20"/>
              </w:rPr>
              <w:t>ПК 8-19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0-7 – 100</w:t>
            </w:r>
          </w:p>
          <w:p>
            <w:pPr>
              <w:spacing w:after="20"/>
              <w:ind w:left="20"/>
              <w:jc w:val="both"/>
            </w:pPr>
            <w:r>
              <w:rPr>
                <w:rFonts w:ascii="Times New Roman"/>
                <w:b w:val="false"/>
                <w:i w:val="false"/>
                <w:color w:val="000000"/>
                <w:sz w:val="20"/>
              </w:rPr>
              <w:t>ПК 7-8 – 35</w:t>
            </w:r>
          </w:p>
          <w:p>
            <w:pPr>
              <w:spacing w:after="20"/>
              <w:ind w:left="20"/>
              <w:jc w:val="both"/>
            </w:pPr>
            <w:r>
              <w:rPr>
                <w:rFonts w:ascii="Times New Roman"/>
                <w:b w:val="false"/>
                <w:i w:val="false"/>
                <w:color w:val="000000"/>
                <w:sz w:val="20"/>
              </w:rPr>
              <w:t>ПК 8-19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0-8 – 100</w:t>
            </w:r>
          </w:p>
          <w:p>
            <w:pPr>
              <w:spacing w:after="20"/>
              <w:ind w:left="20"/>
              <w:jc w:val="both"/>
            </w:pPr>
            <w:r>
              <w:rPr>
                <w:rFonts w:ascii="Times New Roman"/>
                <w:b w:val="false"/>
                <w:i w:val="false"/>
                <w:color w:val="000000"/>
                <w:sz w:val="20"/>
              </w:rPr>
              <w:t>ПК 8-9 – 35</w:t>
            </w:r>
          </w:p>
          <w:p>
            <w:pPr>
              <w:spacing w:after="20"/>
              <w:ind w:left="20"/>
              <w:jc w:val="both"/>
            </w:pPr>
            <w:r>
              <w:rPr>
                <w:rFonts w:ascii="Times New Roman"/>
                <w:b w:val="false"/>
                <w:i w:val="false"/>
                <w:color w:val="000000"/>
                <w:sz w:val="20"/>
              </w:rPr>
              <w:t>ПК 9-11 – 35</w:t>
            </w:r>
          </w:p>
          <w:p>
            <w:pPr>
              <w:spacing w:after="20"/>
              <w:ind w:left="20"/>
              <w:jc w:val="both"/>
            </w:pPr>
            <w:r>
              <w:rPr>
                <w:rFonts w:ascii="Times New Roman"/>
                <w:b w:val="false"/>
                <w:i w:val="false"/>
                <w:color w:val="000000"/>
                <w:sz w:val="20"/>
              </w:rPr>
              <w:t>ПК 11-12 – 100</w:t>
            </w:r>
          </w:p>
          <w:p>
            <w:pPr>
              <w:spacing w:after="20"/>
              <w:ind w:left="20"/>
              <w:jc w:val="both"/>
            </w:pPr>
            <w:r>
              <w:rPr>
                <w:rFonts w:ascii="Times New Roman"/>
                <w:b w:val="false"/>
                <w:i w:val="false"/>
                <w:color w:val="000000"/>
                <w:sz w:val="20"/>
              </w:rPr>
              <w:t>ПК 12-26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0-8 – 100</w:t>
            </w:r>
          </w:p>
          <w:p>
            <w:pPr>
              <w:spacing w:after="20"/>
              <w:ind w:left="20"/>
              <w:jc w:val="both"/>
            </w:pPr>
            <w:r>
              <w:rPr>
                <w:rFonts w:ascii="Times New Roman"/>
                <w:b w:val="false"/>
                <w:i w:val="false"/>
                <w:color w:val="000000"/>
                <w:sz w:val="20"/>
              </w:rPr>
              <w:t>ПК 8-9 – 35</w:t>
            </w:r>
          </w:p>
          <w:p>
            <w:pPr>
              <w:spacing w:after="20"/>
              <w:ind w:left="20"/>
              <w:jc w:val="both"/>
            </w:pPr>
            <w:r>
              <w:rPr>
                <w:rFonts w:ascii="Times New Roman"/>
                <w:b w:val="false"/>
                <w:i w:val="false"/>
                <w:color w:val="000000"/>
                <w:sz w:val="20"/>
              </w:rPr>
              <w:t>ПК 9-11 – 35</w:t>
            </w:r>
          </w:p>
          <w:p>
            <w:pPr>
              <w:spacing w:after="20"/>
              <w:ind w:left="20"/>
              <w:jc w:val="both"/>
            </w:pPr>
            <w:r>
              <w:rPr>
                <w:rFonts w:ascii="Times New Roman"/>
                <w:b w:val="false"/>
                <w:i w:val="false"/>
                <w:color w:val="000000"/>
                <w:sz w:val="20"/>
              </w:rPr>
              <w:t>ПК 11-12 – 100</w:t>
            </w:r>
          </w:p>
          <w:p>
            <w:pPr>
              <w:spacing w:after="20"/>
              <w:ind w:left="20"/>
              <w:jc w:val="both"/>
            </w:pPr>
            <w:r>
              <w:rPr>
                <w:rFonts w:ascii="Times New Roman"/>
                <w:b w:val="false"/>
                <w:i w:val="false"/>
                <w:color w:val="000000"/>
                <w:sz w:val="20"/>
              </w:rPr>
              <w:t>ПК 12-26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Баба-ата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0-13 – 100</w:t>
            </w:r>
          </w:p>
          <w:p>
            <w:pPr>
              <w:spacing w:after="20"/>
              <w:ind w:left="20"/>
              <w:jc w:val="both"/>
            </w:pPr>
            <w:r>
              <w:rPr>
                <w:rFonts w:ascii="Times New Roman"/>
                <w:b w:val="false"/>
                <w:i w:val="false"/>
                <w:color w:val="000000"/>
                <w:sz w:val="20"/>
              </w:rPr>
              <w:t>ПК 13-14 – 35</w:t>
            </w:r>
          </w:p>
          <w:p>
            <w:pPr>
              <w:spacing w:after="20"/>
              <w:ind w:left="20"/>
              <w:jc w:val="both"/>
            </w:pPr>
            <w:r>
              <w:rPr>
                <w:rFonts w:ascii="Times New Roman"/>
                <w:b w:val="false"/>
                <w:i w:val="false"/>
                <w:color w:val="000000"/>
                <w:sz w:val="20"/>
              </w:rPr>
              <w:t>ПК 14-15 – 35</w:t>
            </w:r>
          </w:p>
          <w:p>
            <w:pPr>
              <w:spacing w:after="20"/>
              <w:ind w:left="20"/>
              <w:jc w:val="both"/>
            </w:pPr>
            <w:r>
              <w:rPr>
                <w:rFonts w:ascii="Times New Roman"/>
                <w:b w:val="false"/>
                <w:i w:val="false"/>
                <w:color w:val="000000"/>
                <w:sz w:val="20"/>
              </w:rPr>
              <w:t>ПК 15-50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0-16 – 100</w:t>
            </w:r>
          </w:p>
          <w:p>
            <w:pPr>
              <w:spacing w:after="20"/>
              <w:ind w:left="20"/>
              <w:jc w:val="both"/>
            </w:pPr>
            <w:r>
              <w:rPr>
                <w:rFonts w:ascii="Times New Roman"/>
                <w:b w:val="false"/>
                <w:i w:val="false"/>
                <w:color w:val="000000"/>
                <w:sz w:val="20"/>
              </w:rPr>
              <w:t>ПК 16-50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Үшбас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0-7 – 100</w:t>
            </w:r>
          </w:p>
          <w:p>
            <w:pPr>
              <w:spacing w:after="20"/>
              <w:ind w:left="20"/>
              <w:jc w:val="both"/>
            </w:pPr>
            <w:r>
              <w:rPr>
                <w:rFonts w:ascii="Times New Roman"/>
                <w:b w:val="false"/>
                <w:i w:val="false"/>
                <w:color w:val="000000"/>
                <w:sz w:val="20"/>
              </w:rPr>
              <w:t>ПК 7-13 – 35</w:t>
            </w:r>
          </w:p>
          <w:p>
            <w:pPr>
              <w:spacing w:after="20"/>
              <w:ind w:left="20"/>
              <w:jc w:val="both"/>
            </w:pPr>
            <w:r>
              <w:rPr>
                <w:rFonts w:ascii="Times New Roman"/>
                <w:b w:val="false"/>
                <w:i w:val="false"/>
                <w:color w:val="000000"/>
                <w:sz w:val="20"/>
              </w:rPr>
              <w:t>ПК 13-19 – 35</w:t>
            </w:r>
          </w:p>
          <w:p>
            <w:pPr>
              <w:spacing w:after="20"/>
              <w:ind w:left="20"/>
              <w:jc w:val="both"/>
            </w:pPr>
            <w:r>
              <w:rPr>
                <w:rFonts w:ascii="Times New Roman"/>
                <w:b w:val="false"/>
                <w:i w:val="false"/>
                <w:color w:val="000000"/>
                <w:sz w:val="20"/>
              </w:rPr>
              <w:t>ПК 19-36 – 100</w:t>
            </w:r>
          </w:p>
          <w:p>
            <w:pPr>
              <w:spacing w:after="20"/>
              <w:ind w:left="20"/>
              <w:jc w:val="both"/>
            </w:pPr>
            <w:r>
              <w:rPr>
                <w:rFonts w:ascii="Times New Roman"/>
                <w:b w:val="false"/>
                <w:i w:val="false"/>
                <w:color w:val="000000"/>
                <w:sz w:val="20"/>
              </w:rPr>
              <w:t>ПК 36-39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0-7 – 100</w:t>
            </w:r>
          </w:p>
          <w:p>
            <w:pPr>
              <w:spacing w:after="20"/>
              <w:ind w:left="20"/>
              <w:jc w:val="both"/>
            </w:pPr>
            <w:r>
              <w:rPr>
                <w:rFonts w:ascii="Times New Roman"/>
                <w:b w:val="false"/>
                <w:i w:val="false"/>
                <w:color w:val="000000"/>
                <w:sz w:val="20"/>
              </w:rPr>
              <w:t>ПК 7-13 – 35</w:t>
            </w:r>
          </w:p>
          <w:p>
            <w:pPr>
              <w:spacing w:after="20"/>
              <w:ind w:left="20"/>
              <w:jc w:val="both"/>
            </w:pPr>
            <w:r>
              <w:rPr>
                <w:rFonts w:ascii="Times New Roman"/>
                <w:b w:val="false"/>
                <w:i w:val="false"/>
                <w:color w:val="000000"/>
                <w:sz w:val="20"/>
              </w:rPr>
              <w:t>ПК 13-19 – 35</w:t>
            </w:r>
          </w:p>
          <w:p>
            <w:pPr>
              <w:spacing w:after="20"/>
              <w:ind w:left="20"/>
              <w:jc w:val="both"/>
            </w:pPr>
            <w:r>
              <w:rPr>
                <w:rFonts w:ascii="Times New Roman"/>
                <w:b w:val="false"/>
                <w:i w:val="false"/>
                <w:color w:val="000000"/>
                <w:sz w:val="20"/>
              </w:rPr>
              <w:t>ПК 19-36 – 100</w:t>
            </w:r>
          </w:p>
          <w:p>
            <w:pPr>
              <w:spacing w:after="20"/>
              <w:ind w:left="20"/>
              <w:jc w:val="both"/>
            </w:pPr>
            <w:r>
              <w:rPr>
                <w:rFonts w:ascii="Times New Roman"/>
                <w:b w:val="false"/>
                <w:i w:val="false"/>
                <w:color w:val="000000"/>
                <w:sz w:val="20"/>
              </w:rPr>
              <w:t>ПК 36-39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Жылыбұлақ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0-12– 100</w:t>
            </w:r>
          </w:p>
          <w:p>
            <w:pPr>
              <w:spacing w:after="20"/>
              <w:ind w:left="20"/>
              <w:jc w:val="both"/>
            </w:pPr>
            <w:r>
              <w:rPr>
                <w:rFonts w:ascii="Times New Roman"/>
                <w:b w:val="false"/>
                <w:i w:val="false"/>
                <w:color w:val="000000"/>
                <w:sz w:val="20"/>
              </w:rPr>
              <w:t>ПК 12-15 – 35</w:t>
            </w:r>
          </w:p>
          <w:p>
            <w:pPr>
              <w:spacing w:after="20"/>
              <w:ind w:left="20"/>
              <w:jc w:val="both"/>
            </w:pPr>
            <w:r>
              <w:rPr>
                <w:rFonts w:ascii="Times New Roman"/>
                <w:b w:val="false"/>
                <w:i w:val="false"/>
                <w:color w:val="000000"/>
                <w:sz w:val="20"/>
              </w:rPr>
              <w:t>ПК 15-20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0-11– 100</w:t>
            </w:r>
          </w:p>
          <w:p>
            <w:pPr>
              <w:spacing w:after="20"/>
              <w:ind w:left="20"/>
              <w:jc w:val="both"/>
            </w:pPr>
            <w:r>
              <w:rPr>
                <w:rFonts w:ascii="Times New Roman"/>
                <w:b w:val="false"/>
                <w:i w:val="false"/>
                <w:color w:val="000000"/>
                <w:sz w:val="20"/>
              </w:rPr>
              <w:t>ПК 11-15 – 35</w:t>
            </w:r>
          </w:p>
          <w:p>
            <w:pPr>
              <w:spacing w:after="20"/>
              <w:ind w:left="20"/>
              <w:jc w:val="both"/>
            </w:pPr>
            <w:r>
              <w:rPr>
                <w:rFonts w:ascii="Times New Roman"/>
                <w:b w:val="false"/>
                <w:i w:val="false"/>
                <w:color w:val="000000"/>
                <w:sz w:val="20"/>
              </w:rPr>
              <w:t>ПК 15-20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қарақұс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0-1– 100</w:t>
            </w:r>
          </w:p>
          <w:p>
            <w:pPr>
              <w:spacing w:after="20"/>
              <w:ind w:left="20"/>
              <w:jc w:val="both"/>
            </w:pPr>
            <w:r>
              <w:rPr>
                <w:rFonts w:ascii="Times New Roman"/>
                <w:b w:val="false"/>
                <w:i w:val="false"/>
                <w:color w:val="000000"/>
                <w:sz w:val="20"/>
              </w:rPr>
              <w:t>ПК 1-3 – 35</w:t>
            </w:r>
          </w:p>
          <w:p>
            <w:pPr>
              <w:spacing w:after="20"/>
              <w:ind w:left="20"/>
              <w:jc w:val="both"/>
            </w:pPr>
            <w:r>
              <w:rPr>
                <w:rFonts w:ascii="Times New Roman"/>
                <w:b w:val="false"/>
                <w:i w:val="false"/>
                <w:color w:val="000000"/>
                <w:sz w:val="20"/>
              </w:rPr>
              <w:t>ПК 3-22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0-1– 100</w:t>
            </w:r>
          </w:p>
          <w:p>
            <w:pPr>
              <w:spacing w:after="20"/>
              <w:ind w:left="20"/>
              <w:jc w:val="both"/>
            </w:pPr>
            <w:r>
              <w:rPr>
                <w:rFonts w:ascii="Times New Roman"/>
                <w:b w:val="false"/>
                <w:i w:val="false"/>
                <w:color w:val="000000"/>
                <w:sz w:val="20"/>
              </w:rPr>
              <w:t>ПК 1-3 – 35</w:t>
            </w:r>
          </w:p>
          <w:p>
            <w:pPr>
              <w:spacing w:after="20"/>
              <w:ind w:left="20"/>
              <w:jc w:val="both"/>
            </w:pPr>
            <w:r>
              <w:rPr>
                <w:rFonts w:ascii="Times New Roman"/>
                <w:b w:val="false"/>
                <w:i w:val="false"/>
                <w:color w:val="000000"/>
                <w:sz w:val="20"/>
              </w:rPr>
              <w:t>ПК 3-22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Дарбыт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Таукент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0-4– 100</w:t>
            </w:r>
          </w:p>
          <w:p>
            <w:pPr>
              <w:spacing w:after="20"/>
              <w:ind w:left="20"/>
              <w:jc w:val="both"/>
            </w:pPr>
            <w:r>
              <w:rPr>
                <w:rFonts w:ascii="Times New Roman"/>
                <w:b w:val="false"/>
                <w:i w:val="false"/>
                <w:color w:val="000000"/>
                <w:sz w:val="20"/>
              </w:rPr>
              <w:t>ПК 4-20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0-2 – 100</w:t>
            </w:r>
          </w:p>
          <w:p>
            <w:pPr>
              <w:spacing w:after="20"/>
              <w:ind w:left="20"/>
              <w:jc w:val="both"/>
            </w:pPr>
            <w:r>
              <w:rPr>
                <w:rFonts w:ascii="Times New Roman"/>
                <w:b w:val="false"/>
                <w:i w:val="false"/>
                <w:color w:val="000000"/>
                <w:sz w:val="20"/>
              </w:rPr>
              <w:t>ПК 2-4 – 35</w:t>
            </w:r>
          </w:p>
          <w:p>
            <w:pPr>
              <w:spacing w:after="20"/>
              <w:ind w:left="20"/>
              <w:jc w:val="both"/>
            </w:pPr>
            <w:r>
              <w:rPr>
                <w:rFonts w:ascii="Times New Roman"/>
                <w:b w:val="false"/>
                <w:i w:val="false"/>
                <w:color w:val="000000"/>
                <w:sz w:val="20"/>
              </w:rPr>
              <w:t>ПК 4-20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Қозмолдақ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Сызған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0-3– 100</w:t>
            </w:r>
          </w:p>
          <w:p>
            <w:pPr>
              <w:spacing w:after="20"/>
              <w:ind w:left="20"/>
              <w:jc w:val="both"/>
            </w:pPr>
            <w:r>
              <w:rPr>
                <w:rFonts w:ascii="Times New Roman"/>
                <w:b w:val="false"/>
                <w:i w:val="false"/>
                <w:color w:val="000000"/>
                <w:sz w:val="20"/>
              </w:rPr>
              <w:t>ПК 3-10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0-4 – 100</w:t>
            </w:r>
          </w:p>
          <w:p>
            <w:pPr>
              <w:spacing w:after="20"/>
              <w:ind w:left="20"/>
              <w:jc w:val="both"/>
            </w:pPr>
            <w:r>
              <w:rPr>
                <w:rFonts w:ascii="Times New Roman"/>
                <w:b w:val="false"/>
                <w:i w:val="false"/>
                <w:color w:val="000000"/>
                <w:sz w:val="20"/>
              </w:rPr>
              <w:t>ПК 4-10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 ата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0-4 – 100</w:t>
            </w:r>
          </w:p>
          <w:p>
            <w:pPr>
              <w:spacing w:after="20"/>
              <w:ind w:left="20"/>
              <w:jc w:val="both"/>
            </w:pPr>
            <w:r>
              <w:rPr>
                <w:rFonts w:ascii="Times New Roman"/>
                <w:b w:val="false"/>
                <w:i w:val="false"/>
                <w:color w:val="000000"/>
                <w:sz w:val="20"/>
              </w:rPr>
              <w:t>ПК 4-6 – 35</w:t>
            </w:r>
          </w:p>
          <w:p>
            <w:pPr>
              <w:spacing w:after="20"/>
              <w:ind w:left="20"/>
              <w:jc w:val="both"/>
            </w:pPr>
            <w:r>
              <w:rPr>
                <w:rFonts w:ascii="Times New Roman"/>
                <w:b w:val="false"/>
                <w:i w:val="false"/>
                <w:color w:val="000000"/>
                <w:sz w:val="20"/>
              </w:rPr>
              <w:t>ПК 6-10 – 35</w:t>
            </w:r>
          </w:p>
          <w:p>
            <w:pPr>
              <w:spacing w:after="20"/>
              <w:ind w:left="20"/>
              <w:jc w:val="both"/>
            </w:pPr>
            <w:r>
              <w:rPr>
                <w:rFonts w:ascii="Times New Roman"/>
                <w:b w:val="false"/>
                <w:i w:val="false"/>
                <w:color w:val="000000"/>
                <w:sz w:val="20"/>
              </w:rPr>
              <w:t>ПК 10-12 – 100</w:t>
            </w:r>
          </w:p>
          <w:p>
            <w:pPr>
              <w:spacing w:after="20"/>
              <w:ind w:left="20"/>
              <w:jc w:val="both"/>
            </w:pPr>
            <w:r>
              <w:rPr>
                <w:rFonts w:ascii="Times New Roman"/>
                <w:b w:val="false"/>
                <w:i w:val="false"/>
                <w:color w:val="000000"/>
                <w:sz w:val="20"/>
              </w:rPr>
              <w:t>ПК 12-18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0-4 – 100</w:t>
            </w:r>
          </w:p>
          <w:p>
            <w:pPr>
              <w:spacing w:after="20"/>
              <w:ind w:left="20"/>
              <w:jc w:val="both"/>
            </w:pPr>
            <w:r>
              <w:rPr>
                <w:rFonts w:ascii="Times New Roman"/>
                <w:b w:val="false"/>
                <w:i w:val="false"/>
                <w:color w:val="000000"/>
                <w:sz w:val="20"/>
              </w:rPr>
              <w:t>ПК 4-6 – 35</w:t>
            </w:r>
          </w:p>
          <w:p>
            <w:pPr>
              <w:spacing w:after="20"/>
              <w:ind w:left="20"/>
              <w:jc w:val="both"/>
            </w:pPr>
            <w:r>
              <w:rPr>
                <w:rFonts w:ascii="Times New Roman"/>
                <w:b w:val="false"/>
                <w:i w:val="false"/>
                <w:color w:val="000000"/>
                <w:sz w:val="20"/>
              </w:rPr>
              <w:t>ПК 6-18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Суындық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0-10 – 100</w:t>
            </w:r>
          </w:p>
          <w:p>
            <w:pPr>
              <w:spacing w:after="20"/>
              <w:ind w:left="20"/>
              <w:jc w:val="both"/>
            </w:pPr>
            <w:r>
              <w:rPr>
                <w:rFonts w:ascii="Times New Roman"/>
                <w:b w:val="false"/>
                <w:i w:val="false"/>
                <w:color w:val="000000"/>
                <w:sz w:val="20"/>
              </w:rPr>
              <w:t>ПК 10-12 – 35</w:t>
            </w:r>
          </w:p>
          <w:p>
            <w:pPr>
              <w:spacing w:after="20"/>
              <w:ind w:left="20"/>
              <w:jc w:val="both"/>
            </w:pPr>
            <w:r>
              <w:rPr>
                <w:rFonts w:ascii="Times New Roman"/>
                <w:b w:val="false"/>
                <w:i w:val="false"/>
                <w:color w:val="000000"/>
                <w:sz w:val="20"/>
              </w:rPr>
              <w:t>ПК 12-17 – 35</w:t>
            </w:r>
          </w:p>
          <w:p>
            <w:pPr>
              <w:spacing w:after="20"/>
              <w:ind w:left="20"/>
              <w:jc w:val="both"/>
            </w:pPr>
            <w:r>
              <w:rPr>
                <w:rFonts w:ascii="Times New Roman"/>
                <w:b w:val="false"/>
                <w:i w:val="false"/>
                <w:color w:val="000000"/>
                <w:sz w:val="20"/>
              </w:rPr>
              <w:t>ПК 17-19 – 35</w:t>
            </w:r>
          </w:p>
          <w:p>
            <w:pPr>
              <w:spacing w:after="20"/>
              <w:ind w:left="20"/>
              <w:jc w:val="both"/>
            </w:pPr>
            <w:r>
              <w:rPr>
                <w:rFonts w:ascii="Times New Roman"/>
                <w:b w:val="false"/>
                <w:i w:val="false"/>
                <w:color w:val="000000"/>
                <w:sz w:val="20"/>
              </w:rPr>
              <w:t>ПК 19-57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0-10 – 100</w:t>
            </w:r>
          </w:p>
          <w:p>
            <w:pPr>
              <w:spacing w:after="20"/>
              <w:ind w:left="20"/>
              <w:jc w:val="both"/>
            </w:pPr>
            <w:r>
              <w:rPr>
                <w:rFonts w:ascii="Times New Roman"/>
                <w:b w:val="false"/>
                <w:i w:val="false"/>
                <w:color w:val="000000"/>
                <w:sz w:val="20"/>
              </w:rPr>
              <w:t>ПК 10-12 – 35</w:t>
            </w:r>
          </w:p>
          <w:p>
            <w:pPr>
              <w:spacing w:after="20"/>
              <w:ind w:left="20"/>
              <w:jc w:val="both"/>
            </w:pPr>
            <w:r>
              <w:rPr>
                <w:rFonts w:ascii="Times New Roman"/>
                <w:b w:val="false"/>
                <w:i w:val="false"/>
                <w:color w:val="000000"/>
                <w:sz w:val="20"/>
              </w:rPr>
              <w:t>ПК 12-17 – 35</w:t>
            </w:r>
          </w:p>
          <w:p>
            <w:pPr>
              <w:spacing w:after="20"/>
              <w:ind w:left="20"/>
              <w:jc w:val="both"/>
            </w:pPr>
            <w:r>
              <w:rPr>
                <w:rFonts w:ascii="Times New Roman"/>
                <w:b w:val="false"/>
                <w:i w:val="false"/>
                <w:color w:val="000000"/>
                <w:sz w:val="20"/>
              </w:rPr>
              <w:t>ПК 17-19 – 35</w:t>
            </w:r>
          </w:p>
          <w:p>
            <w:pPr>
              <w:spacing w:after="20"/>
              <w:ind w:left="20"/>
              <w:jc w:val="both"/>
            </w:pPr>
            <w:r>
              <w:rPr>
                <w:rFonts w:ascii="Times New Roman"/>
                <w:b w:val="false"/>
                <w:i w:val="false"/>
                <w:color w:val="000000"/>
                <w:sz w:val="20"/>
              </w:rPr>
              <w:t>ПК 19-57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0-3 – 55</w:t>
            </w:r>
          </w:p>
          <w:p>
            <w:pPr>
              <w:spacing w:after="20"/>
              <w:ind w:left="20"/>
              <w:jc w:val="both"/>
            </w:pPr>
            <w:r>
              <w:rPr>
                <w:rFonts w:ascii="Times New Roman"/>
                <w:b w:val="false"/>
                <w:i w:val="false"/>
                <w:color w:val="000000"/>
                <w:sz w:val="20"/>
              </w:rPr>
              <w:t>ПК 3-4 – 35</w:t>
            </w:r>
          </w:p>
          <w:p>
            <w:pPr>
              <w:spacing w:after="20"/>
              <w:ind w:left="20"/>
              <w:jc w:val="both"/>
            </w:pPr>
            <w:r>
              <w:rPr>
                <w:rFonts w:ascii="Times New Roman"/>
                <w:b w:val="false"/>
                <w:i w:val="false"/>
                <w:color w:val="000000"/>
                <w:sz w:val="20"/>
              </w:rPr>
              <w:t>ПК 4-7 – 100</w:t>
            </w:r>
          </w:p>
          <w:p>
            <w:pPr>
              <w:spacing w:after="20"/>
              <w:ind w:left="20"/>
              <w:jc w:val="both"/>
            </w:pPr>
            <w:r>
              <w:rPr>
                <w:rFonts w:ascii="Times New Roman"/>
                <w:b w:val="false"/>
                <w:i w:val="false"/>
                <w:color w:val="000000"/>
                <w:sz w:val="20"/>
              </w:rPr>
              <w:t>ПК 7-10 – 35</w:t>
            </w:r>
          </w:p>
          <w:p>
            <w:pPr>
              <w:spacing w:after="20"/>
              <w:ind w:left="20"/>
              <w:jc w:val="both"/>
            </w:pPr>
            <w:r>
              <w:rPr>
                <w:rFonts w:ascii="Times New Roman"/>
                <w:b w:val="false"/>
                <w:i w:val="false"/>
                <w:color w:val="000000"/>
                <w:sz w:val="20"/>
              </w:rPr>
              <w:t>ПК 10-12 – 100</w:t>
            </w:r>
          </w:p>
          <w:p>
            <w:pPr>
              <w:spacing w:after="20"/>
              <w:ind w:left="20"/>
              <w:jc w:val="both"/>
            </w:pPr>
            <w:r>
              <w:rPr>
                <w:rFonts w:ascii="Times New Roman"/>
                <w:b w:val="false"/>
                <w:i w:val="false"/>
                <w:color w:val="000000"/>
                <w:sz w:val="20"/>
              </w:rPr>
              <w:t>ПК 12-16 – 35</w:t>
            </w:r>
          </w:p>
          <w:p>
            <w:pPr>
              <w:spacing w:after="20"/>
              <w:ind w:left="20"/>
              <w:jc w:val="both"/>
            </w:pPr>
            <w:r>
              <w:rPr>
                <w:rFonts w:ascii="Times New Roman"/>
                <w:b w:val="false"/>
                <w:i w:val="false"/>
                <w:color w:val="000000"/>
                <w:sz w:val="20"/>
              </w:rPr>
              <w:t>ПК 16-49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0-3 – 55</w:t>
            </w:r>
          </w:p>
          <w:p>
            <w:pPr>
              <w:spacing w:after="20"/>
              <w:ind w:left="20"/>
              <w:jc w:val="both"/>
            </w:pPr>
            <w:r>
              <w:rPr>
                <w:rFonts w:ascii="Times New Roman"/>
                <w:b w:val="false"/>
                <w:i w:val="false"/>
                <w:color w:val="000000"/>
                <w:sz w:val="20"/>
              </w:rPr>
              <w:t>ПК 3-4 – 35</w:t>
            </w:r>
          </w:p>
          <w:p>
            <w:pPr>
              <w:spacing w:after="20"/>
              <w:ind w:left="20"/>
              <w:jc w:val="both"/>
            </w:pPr>
            <w:r>
              <w:rPr>
                <w:rFonts w:ascii="Times New Roman"/>
                <w:b w:val="false"/>
                <w:i w:val="false"/>
                <w:color w:val="000000"/>
                <w:sz w:val="20"/>
              </w:rPr>
              <w:t>ПК 4-7 – 100</w:t>
            </w:r>
          </w:p>
          <w:p>
            <w:pPr>
              <w:spacing w:after="20"/>
              <w:ind w:left="20"/>
              <w:jc w:val="both"/>
            </w:pPr>
            <w:r>
              <w:rPr>
                <w:rFonts w:ascii="Times New Roman"/>
                <w:b w:val="false"/>
                <w:i w:val="false"/>
                <w:color w:val="000000"/>
                <w:sz w:val="20"/>
              </w:rPr>
              <w:t>ПК 7-10 – 35</w:t>
            </w:r>
          </w:p>
          <w:p>
            <w:pPr>
              <w:spacing w:after="20"/>
              <w:ind w:left="20"/>
              <w:jc w:val="both"/>
            </w:pPr>
            <w:r>
              <w:rPr>
                <w:rFonts w:ascii="Times New Roman"/>
                <w:b w:val="false"/>
                <w:i w:val="false"/>
                <w:color w:val="000000"/>
                <w:sz w:val="20"/>
              </w:rPr>
              <w:t>ПК 10-12 – 100</w:t>
            </w:r>
          </w:p>
          <w:p>
            <w:pPr>
              <w:spacing w:after="20"/>
              <w:ind w:left="20"/>
              <w:jc w:val="both"/>
            </w:pPr>
            <w:r>
              <w:rPr>
                <w:rFonts w:ascii="Times New Roman"/>
                <w:b w:val="false"/>
                <w:i w:val="false"/>
                <w:color w:val="000000"/>
                <w:sz w:val="20"/>
              </w:rPr>
              <w:t>ПК 12-16 – 35</w:t>
            </w:r>
          </w:p>
          <w:p>
            <w:pPr>
              <w:spacing w:after="20"/>
              <w:ind w:left="20"/>
              <w:jc w:val="both"/>
            </w:pPr>
            <w:r>
              <w:rPr>
                <w:rFonts w:ascii="Times New Roman"/>
                <w:b w:val="false"/>
                <w:i w:val="false"/>
                <w:color w:val="000000"/>
                <w:sz w:val="20"/>
              </w:rPr>
              <w:t>ПК 16-49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0-5– 100</w:t>
            </w:r>
          </w:p>
          <w:p>
            <w:pPr>
              <w:spacing w:after="20"/>
              <w:ind w:left="20"/>
              <w:jc w:val="both"/>
            </w:pPr>
            <w:r>
              <w:rPr>
                <w:rFonts w:ascii="Times New Roman"/>
                <w:b w:val="false"/>
                <w:i w:val="false"/>
                <w:color w:val="000000"/>
                <w:sz w:val="20"/>
              </w:rPr>
              <w:t>ПК 5-6 – 35</w:t>
            </w:r>
          </w:p>
          <w:p>
            <w:pPr>
              <w:spacing w:after="20"/>
              <w:ind w:left="20"/>
              <w:jc w:val="both"/>
            </w:pPr>
            <w:r>
              <w:rPr>
                <w:rFonts w:ascii="Times New Roman"/>
                <w:b w:val="false"/>
                <w:i w:val="false"/>
                <w:color w:val="000000"/>
                <w:sz w:val="20"/>
              </w:rPr>
              <w:t>ПК 6-65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0-5– 100</w:t>
            </w:r>
          </w:p>
          <w:p>
            <w:pPr>
              <w:spacing w:after="20"/>
              <w:ind w:left="20"/>
              <w:jc w:val="both"/>
            </w:pPr>
            <w:r>
              <w:rPr>
                <w:rFonts w:ascii="Times New Roman"/>
                <w:b w:val="false"/>
                <w:i w:val="false"/>
                <w:color w:val="000000"/>
                <w:sz w:val="20"/>
              </w:rPr>
              <w:t>ПК 5-6 – 35</w:t>
            </w:r>
          </w:p>
          <w:p>
            <w:pPr>
              <w:spacing w:after="20"/>
              <w:ind w:left="20"/>
              <w:jc w:val="both"/>
            </w:pPr>
            <w:r>
              <w:rPr>
                <w:rFonts w:ascii="Times New Roman"/>
                <w:b w:val="false"/>
                <w:i w:val="false"/>
                <w:color w:val="000000"/>
                <w:sz w:val="20"/>
              </w:rPr>
              <w:t>ПК 6-65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шаға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Қарақұр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0-6– 100</w:t>
            </w:r>
          </w:p>
          <w:p>
            <w:pPr>
              <w:spacing w:after="20"/>
              <w:ind w:left="20"/>
              <w:jc w:val="both"/>
            </w:pPr>
            <w:r>
              <w:rPr>
                <w:rFonts w:ascii="Times New Roman"/>
                <w:b w:val="false"/>
                <w:i w:val="false"/>
                <w:color w:val="000000"/>
                <w:sz w:val="20"/>
              </w:rPr>
              <w:t>ПК 6-10 – 35</w:t>
            </w:r>
          </w:p>
          <w:p>
            <w:pPr>
              <w:spacing w:after="20"/>
              <w:ind w:left="20"/>
              <w:jc w:val="both"/>
            </w:pPr>
            <w:r>
              <w:rPr>
                <w:rFonts w:ascii="Times New Roman"/>
                <w:b w:val="false"/>
                <w:i w:val="false"/>
                <w:color w:val="000000"/>
                <w:sz w:val="20"/>
              </w:rPr>
              <w:t>ПК 10-20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0-6– 100</w:t>
            </w:r>
          </w:p>
          <w:p>
            <w:pPr>
              <w:spacing w:after="20"/>
              <w:ind w:left="20"/>
              <w:jc w:val="both"/>
            </w:pPr>
            <w:r>
              <w:rPr>
                <w:rFonts w:ascii="Times New Roman"/>
                <w:b w:val="false"/>
                <w:i w:val="false"/>
                <w:color w:val="000000"/>
                <w:sz w:val="20"/>
              </w:rPr>
              <w:t>ПК 6-10 – 35</w:t>
            </w:r>
          </w:p>
          <w:p>
            <w:pPr>
              <w:spacing w:after="20"/>
              <w:ind w:left="20"/>
              <w:jc w:val="both"/>
            </w:pPr>
            <w:r>
              <w:rPr>
                <w:rFonts w:ascii="Times New Roman"/>
                <w:b w:val="false"/>
                <w:i w:val="false"/>
                <w:color w:val="000000"/>
                <w:sz w:val="20"/>
              </w:rPr>
              <w:t>ПК 10-20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Бақырлы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0-12– 100</w:t>
            </w:r>
          </w:p>
          <w:p>
            <w:pPr>
              <w:spacing w:after="20"/>
              <w:ind w:left="20"/>
              <w:jc w:val="both"/>
            </w:pPr>
            <w:r>
              <w:rPr>
                <w:rFonts w:ascii="Times New Roman"/>
                <w:b w:val="false"/>
                <w:i w:val="false"/>
                <w:color w:val="000000"/>
                <w:sz w:val="20"/>
              </w:rPr>
              <w:t>ПК 12-17 – 35</w:t>
            </w:r>
          </w:p>
          <w:p>
            <w:pPr>
              <w:spacing w:after="20"/>
              <w:ind w:left="20"/>
              <w:jc w:val="both"/>
            </w:pPr>
            <w:r>
              <w:rPr>
                <w:rFonts w:ascii="Times New Roman"/>
                <w:b w:val="false"/>
                <w:i w:val="false"/>
                <w:color w:val="000000"/>
                <w:sz w:val="20"/>
              </w:rPr>
              <w:t>ПК 17-20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0-12– 100</w:t>
            </w:r>
          </w:p>
          <w:p>
            <w:pPr>
              <w:spacing w:after="20"/>
              <w:ind w:left="20"/>
              <w:jc w:val="both"/>
            </w:pPr>
            <w:r>
              <w:rPr>
                <w:rFonts w:ascii="Times New Roman"/>
                <w:b w:val="false"/>
                <w:i w:val="false"/>
                <w:color w:val="000000"/>
                <w:sz w:val="20"/>
              </w:rPr>
              <w:t>ПК 12-17 – 35</w:t>
            </w:r>
          </w:p>
          <w:p>
            <w:pPr>
              <w:spacing w:after="20"/>
              <w:ind w:left="20"/>
              <w:jc w:val="both"/>
            </w:pPr>
            <w:r>
              <w:rPr>
                <w:rFonts w:ascii="Times New Roman"/>
                <w:b w:val="false"/>
                <w:i w:val="false"/>
                <w:color w:val="000000"/>
                <w:sz w:val="20"/>
              </w:rPr>
              <w:t>ПК 17-20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Күмісті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жағалау: ПК 0-4 – 55</w:t>
            </w:r>
          </w:p>
          <w:p>
            <w:pPr>
              <w:spacing w:after="20"/>
              <w:ind w:left="20"/>
              <w:jc w:val="both"/>
            </w:pPr>
            <w:r>
              <w:rPr>
                <w:rFonts w:ascii="Times New Roman"/>
                <w:b w:val="false"/>
                <w:i w:val="false"/>
                <w:color w:val="000000"/>
                <w:sz w:val="20"/>
              </w:rPr>
              <w:t>ПК 4-15 – 100</w:t>
            </w:r>
          </w:p>
          <w:p>
            <w:pPr>
              <w:spacing w:after="20"/>
              <w:ind w:left="20"/>
              <w:jc w:val="both"/>
            </w:pPr>
            <w:r>
              <w:rPr>
                <w:rFonts w:ascii="Times New Roman"/>
                <w:b w:val="false"/>
                <w:i w:val="false"/>
                <w:color w:val="000000"/>
                <w:sz w:val="20"/>
              </w:rPr>
              <w:t>ПК 15-25 – 35</w:t>
            </w:r>
          </w:p>
          <w:p>
            <w:pPr>
              <w:spacing w:after="20"/>
              <w:ind w:left="20"/>
              <w:jc w:val="both"/>
            </w:pPr>
            <w:r>
              <w:rPr>
                <w:rFonts w:ascii="Times New Roman"/>
                <w:b w:val="false"/>
                <w:i w:val="false"/>
                <w:color w:val="000000"/>
                <w:sz w:val="20"/>
              </w:rPr>
              <w:t>ПК 25-30 – 35</w:t>
            </w:r>
          </w:p>
          <w:p>
            <w:pPr>
              <w:spacing w:after="20"/>
              <w:ind w:left="20"/>
              <w:jc w:val="both"/>
            </w:pPr>
            <w:r>
              <w:rPr>
                <w:rFonts w:ascii="Times New Roman"/>
                <w:b w:val="false"/>
                <w:i w:val="false"/>
                <w:color w:val="000000"/>
                <w:sz w:val="20"/>
              </w:rPr>
              <w:t>Сол жағалау:</w:t>
            </w:r>
          </w:p>
          <w:p>
            <w:pPr>
              <w:spacing w:after="20"/>
              <w:ind w:left="20"/>
              <w:jc w:val="both"/>
            </w:pPr>
            <w:r>
              <w:rPr>
                <w:rFonts w:ascii="Times New Roman"/>
                <w:b w:val="false"/>
                <w:i w:val="false"/>
                <w:color w:val="000000"/>
                <w:sz w:val="20"/>
              </w:rPr>
              <w:t>ПК 0-4 – 55</w:t>
            </w:r>
          </w:p>
          <w:p>
            <w:pPr>
              <w:spacing w:after="20"/>
              <w:ind w:left="20"/>
              <w:jc w:val="both"/>
            </w:pPr>
            <w:r>
              <w:rPr>
                <w:rFonts w:ascii="Times New Roman"/>
                <w:b w:val="false"/>
                <w:i w:val="false"/>
                <w:color w:val="000000"/>
                <w:sz w:val="20"/>
              </w:rPr>
              <w:t>ПК 4-11 – 100</w:t>
            </w:r>
          </w:p>
          <w:p>
            <w:pPr>
              <w:spacing w:after="20"/>
              <w:ind w:left="20"/>
              <w:jc w:val="both"/>
            </w:pPr>
            <w:r>
              <w:rPr>
                <w:rFonts w:ascii="Times New Roman"/>
                <w:b w:val="false"/>
                <w:i w:val="false"/>
                <w:color w:val="000000"/>
                <w:sz w:val="20"/>
              </w:rPr>
              <w:t>ПК 11-13 – 35</w:t>
            </w:r>
          </w:p>
          <w:p>
            <w:pPr>
              <w:spacing w:after="20"/>
              <w:ind w:left="20"/>
              <w:jc w:val="both"/>
            </w:pPr>
            <w:r>
              <w:rPr>
                <w:rFonts w:ascii="Times New Roman"/>
                <w:b w:val="false"/>
                <w:i w:val="false"/>
                <w:color w:val="000000"/>
                <w:sz w:val="20"/>
              </w:rPr>
              <w:t>ПК 13-15 – 100</w:t>
            </w:r>
          </w:p>
          <w:p>
            <w:pPr>
              <w:spacing w:after="20"/>
              <w:ind w:left="20"/>
              <w:jc w:val="both"/>
            </w:pPr>
            <w:r>
              <w:rPr>
                <w:rFonts w:ascii="Times New Roman"/>
                <w:b w:val="false"/>
                <w:i w:val="false"/>
                <w:color w:val="000000"/>
                <w:sz w:val="20"/>
              </w:rPr>
              <w:t>ПК 15-25 – 35</w:t>
            </w:r>
          </w:p>
          <w:p>
            <w:pPr>
              <w:spacing w:after="20"/>
              <w:ind w:left="20"/>
              <w:jc w:val="both"/>
            </w:pPr>
            <w:r>
              <w:rPr>
                <w:rFonts w:ascii="Times New Roman"/>
                <w:b w:val="false"/>
                <w:i w:val="false"/>
                <w:color w:val="000000"/>
                <w:sz w:val="20"/>
              </w:rPr>
              <w:t>ПК 25-30 – 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Күмісті-1 өзені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Қаратау ауылдық округі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