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fb1a" w14:textId="a96f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қолдауды ұсыну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19 наурыздағы № 145 шешімі. Солтүстік Қазақстан облысының Әділет департаментінде 2018 жылғы 3 сәуірде № 4629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ауданының әкімі мәлімдеген қажеттілікті ескере отырып, 2018 жылы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өтініш берілген кезеңге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XXІ –ші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Л.Валяева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