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9f54" w14:textId="5949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"Алматы қаласы бойынша Тексеру комиссиясы" коммуналдық мемлекеттік мекемесінің 2018 жылғы 26 наурыздағы № 2 қаулысы. Алматы қаласы Әділет департаментінде 2018 жылғы 10 сәуірде № 1467 болып тіркелді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агентігінің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бойынша Тексеру комиссиясы, ҚАУЛЫ ЕТЕДІ:</w:t>
      </w:r>
    </w:p>
    <w:p>
      <w:pPr>
        <w:spacing w:after="0"/>
        <w:ind w:left="0"/>
        <w:jc w:val="both"/>
      </w:pPr>
      <w:r>
        <w:rPr>
          <w:rFonts w:ascii="Times New Roman"/>
          <w:b w:val="false"/>
          <w:i w:val="false"/>
          <w:color w:val="000000"/>
          <w:sz w:val="28"/>
        </w:rPr>
        <w:t>
      1. "Алматы қаласы бойынша Тексеру комиссиясы" коммуналдық мемлекеттік мекемесінің "Б" корпусы мемлекеттік әкімшілік қызметшілерінің қызметін бағалаудың Әдістемесі осы қаулының қосымшасына сәйкес бекітілсін.</w:t>
      </w:r>
    </w:p>
    <w:bookmarkStart w:name="z1" w:id="0"/>
    <w:p>
      <w:pPr>
        <w:spacing w:after="0"/>
        <w:ind w:left="0"/>
        <w:jc w:val="both"/>
      </w:pPr>
      <w:r>
        <w:rPr>
          <w:rFonts w:ascii="Times New Roman"/>
          <w:b w:val="false"/>
          <w:i w:val="false"/>
          <w:color w:val="000000"/>
          <w:sz w:val="28"/>
        </w:rPr>
        <w:t xml:space="preserve">
      2. Алматы қаласы бойынша Тексеру комиссиясы төрағасының 23.05.2017 жылғы № 6 "Алматы қаласы бойынша Тексеру комиссиясы"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(Алматы қаласы Әділет департаментінде 2017 жылғы 8 маусымда № 1377 тіркелген, 2017 жылғы 17 маусымда № 71 "Алматы Ақшамы" және № 70 "Вечерний Алматы" газеттерінде жарияланған) күші жойылды деп танылсын.</w:t>
      </w:r>
    </w:p>
    <w:bookmarkEnd w:id="0"/>
    <w:p>
      <w:pPr>
        <w:spacing w:after="0"/>
        <w:ind w:left="0"/>
        <w:jc w:val="both"/>
      </w:pPr>
      <w:r>
        <w:rPr>
          <w:rFonts w:ascii="Times New Roman"/>
          <w:b w:val="false"/>
          <w:i w:val="false"/>
          <w:color w:val="000000"/>
          <w:sz w:val="28"/>
        </w:rPr>
        <w:t>
      3. Әкімшілік-құқықтық бөлімі осы қаулыға қатысты шараларды жүргізсін және қолданыстағы заңнамамен бекітілген тәртіпте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4. Аталған қаулының орындалуын бақылау Тексеру комиссиясының мүшесі Б. Абилаевқа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2018 жылғы 26 наурыздағы №</w:t>
            </w:r>
            <w:r>
              <w:br/>
            </w:r>
            <w:r>
              <w:rPr>
                <w:rFonts w:ascii="Times New Roman"/>
                <w:b w:val="false"/>
                <w:i w:val="false"/>
                <w:color w:val="000000"/>
                <w:sz w:val="20"/>
              </w:rPr>
              <w:t>қаулысымен бекітілген</w:t>
            </w:r>
            <w:r>
              <w:br/>
            </w:r>
          </w:p>
        </w:tc>
      </w:tr>
    </w:tbl>
    <w:bookmarkStart w:name="z3" w:id="1"/>
    <w:p>
      <w:pPr>
        <w:spacing w:after="0"/>
        <w:ind w:left="0"/>
        <w:jc w:val="left"/>
      </w:pPr>
      <w:r>
        <w:rPr>
          <w:rFonts w:ascii="Times New Roman"/>
          <w:b/>
          <w:i w:val="false"/>
          <w:color w:val="000000"/>
        </w:rPr>
        <w:t xml:space="preserve"> Алматы қаласы бойынша Тексеру комиссиясы "Б" корпусы мемлекеттік</w:t>
      </w:r>
      <w:r>
        <w:br/>
      </w:r>
      <w:r>
        <w:rPr>
          <w:rFonts w:ascii="Times New Roman"/>
          <w:b/>
          <w:i w:val="false"/>
          <w:color w:val="000000"/>
        </w:rPr>
        <w:t>әкімшілік қызметшілерінің қызметін бағалаудың әдістемесі 1-тарау. Жалпы ережелер</w:t>
      </w:r>
    </w:p>
    <w:bookmarkEnd w:id="1"/>
    <w:p>
      <w:pPr>
        <w:spacing w:after="0"/>
        <w:ind w:left="0"/>
        <w:jc w:val="both"/>
      </w:pPr>
      <w:r>
        <w:rPr>
          <w:rFonts w:ascii="Times New Roman"/>
          <w:b w:val="false"/>
          <w:i w:val="false"/>
          <w:color w:val="000000"/>
          <w:sz w:val="28"/>
        </w:rPr>
        <w:t xml:space="preserve">
      1. Осы Алматы қаласы бойынша Тексеру комиссиясы (бұдан әрі – Тексеру комиссиясы) "Б" корпусы мемлекеттік әкімшілік қызметшілерінің қызметін бағалаудың үлгілік әдістемесі (бұдан әрі – Әдістеме) "Қазақстан Республикасы мемлекеттік қызметі туралы" 2015 жылғы 23 қарашадағы Қазақстан Республикасының Заңы </w:t>
      </w:r>
      <w:r>
        <w:rPr>
          <w:rFonts w:ascii="Times New Roman"/>
          <w:b w:val="false"/>
          <w:i w:val="false"/>
          <w:color w:val="000000"/>
          <w:sz w:val="28"/>
        </w:rPr>
        <w:t>33 бабының 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p>
      <w:pPr>
        <w:spacing w:after="0"/>
        <w:ind w:left="0"/>
        <w:jc w:val="both"/>
      </w:pPr>
      <w:r>
        <w:rPr>
          <w:rFonts w:ascii="Times New Roman"/>
          <w:b w:val="false"/>
          <w:i w:val="false"/>
          <w:color w:val="000000"/>
          <w:sz w:val="28"/>
        </w:rPr>
        <w:t>
      Тексеру комиссиясының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3.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Тексеру комиссиясының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xml:space="preserve">
      4. Бағалауды өткізу үшін Тексеру комиссиясы төрағасының бұйрығымен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Комиссия құрамы Тексеру комиссиясының төрағасымен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5. Тексеру комиссиясының төрағасын бағалау Алматы қаласы маслихат депутаттарының қатарынан құрылған комиссиямен жүргізіледі.</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Тексеру комиссиясының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Тексеру комиссиясының "Б" корпусы қызметшісінің қажетті құзыреттерін дамытуға негіз болып табылады. Бұл ретте, құзыреттерді бағалау нәтижелері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Тексеру комиссиясының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Тексеру комиссиясының төрағаның НМИ осы Әдістеменің 1-қосымшасына сәйкес нысан бойынша, бағалаудың басталу мерзімінен кейін 10 жұмыс күні ішінде құрылатын "Б" корпусы қызметшісінің жеке жұмыс жоспарында Алматы қаласы маслихат хатшысымен анықталады. </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Тексеру комиссиясының перспективтық мақсатын жүзеге асыруға бағытталған болуы тиіс.</w:t>
      </w:r>
    </w:p>
    <w:p>
      <w:pPr>
        <w:spacing w:after="0"/>
        <w:ind w:left="0"/>
        <w:jc w:val="both"/>
      </w:pPr>
      <w:r>
        <w:rPr>
          <w:rFonts w:ascii="Times New Roman"/>
          <w:b w:val="false"/>
          <w:i w:val="false"/>
          <w:color w:val="000000"/>
          <w:sz w:val="28"/>
        </w:rPr>
        <w:t xml:space="preserve">
      14. НМИ саны 5 құрайды. </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Тексеру комиссиясының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Тексеру комиссиясының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Тексеру комиссиясының "Б" корпусы қызметшісінің тікелей басшысы Тексеру комиссиясының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Тексеру комиссиясының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Тексеру комиссиясының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w:t>
      </w:r>
      <w:r>
        <w:br/>
      </w:r>
      <w:r>
        <w:rPr>
          <w:rFonts w:ascii="Times New Roman"/>
          <w:b/>
          <w:i w:val="false"/>
          <w:color w:val="000000"/>
        </w:rPr>
        <w:t>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Тексеру комиссиясының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Тексеру комиссиясының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Тексеру комиссиясының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Тексеру комиссиясының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Тексеру комиссиясының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w:t>
            </w:r>
            <w:r>
              <w:br/>
            </w:r>
            <w:r>
              <w:rPr>
                <w:rFonts w:ascii="Times New Roman"/>
                <w:b w:val="false"/>
                <w:i w:val="false"/>
                <w:color w:val="000000"/>
                <w:sz w:val="20"/>
              </w:rPr>
              <w:t>қолы 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w:t>
      </w:r>
      <w:r>
        <w:br/>
      </w:r>
      <w:r>
        <w:rPr>
          <w:rFonts w:ascii="Times New Roman"/>
          <w:b w:val="false"/>
          <w:i w:val="false"/>
          <w:color w:val="000000"/>
          <w:sz w:val="28"/>
        </w:rPr>
        <w:t>Қызметшінің лауазымы: 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w:t>
      </w:r>
      <w:r>
        <w:br/>
      </w: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866"/>
        <w:gridCol w:w="3490"/>
        <w:gridCol w:w="1054"/>
        <w:gridCol w:w="1054"/>
        <w:gridCol w:w="1460"/>
        <w:gridCol w:w="1868"/>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көрсеткішінен немесе мемлекеттік жоспарлау жүйесінің құжатынан түйінделеді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 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591"/>
        <w:gridCol w:w="900"/>
        <w:gridCol w:w="1464"/>
        <w:gridCol w:w="1464"/>
        <w:gridCol w:w="3787"/>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r>
        <w:br/>
      </w:r>
      <w:r>
        <w:rPr>
          <w:rFonts w:ascii="Times New Roman"/>
          <w:b/>
          <w:i w:val="false"/>
          <w:color w:val="000000"/>
        </w:rPr>
        <w:t>___________________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w:t>
      </w:r>
      <w:r>
        <w:br/>
      </w:r>
      <w:r>
        <w:rPr>
          <w:rFonts w:ascii="Times New Roman"/>
          <w:b w:val="false"/>
          <w:i w:val="false"/>
          <w:color w:val="000000"/>
          <w:sz w:val="28"/>
        </w:rPr>
        <w:t>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905"/>
        <w:gridCol w:w="4315"/>
        <w:gridCol w:w="578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735"/>
        <w:gridCol w:w="5344"/>
        <w:gridCol w:w="3730"/>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Құзыреттер атауы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әкімшілік лауазымдар санаты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Тиімді мінез-құлық индикаторлары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Тиімсіз мінез-құлық индикаторлары</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ҚЫЗМЕТТІК БАСҚАРУ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r>
              <w:br/>
            </w:r>
            <w:r>
              <w:rPr>
                <w:rFonts w:ascii="Times New Roman"/>
                <w:b w:val="false"/>
                <w:i w:val="false"/>
                <w:color w:val="000000"/>
                <w:sz w:val="20"/>
              </w:rPr>
              <w:t xml:space="preserve">
 Бөлімше жұмысын басымдылығына қарай тиімді ұйымдастырады;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xml:space="preserve">
D-3 (құрылымдық бөлімшенің басшысы).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xml:space="preserve">
D-5. </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ЫНТЫМАҚТАСТЫҚ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xml:space="preserve">
D-3 (құрылымдық бөлімшенің басшысы).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xml:space="preserve">
D-5. </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ШЕШІМ ҚАБЫЛДАУ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r>
              <w:br/>
            </w:r>
            <w:r>
              <w:rPr>
                <w:rFonts w:ascii="Times New Roman"/>
                <w:b w:val="false"/>
                <w:i w:val="false"/>
                <w:color w:val="000000"/>
                <w:sz w:val="20"/>
              </w:rPr>
              <w:t xml:space="preserve">
 Шешім қабылдау барысында мүмкін болатын қауіптер туралы хабарлайды; </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xml:space="preserve">
D-3 (Құрылымдық бөлімшенің басшысы).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xml:space="preserve">
D-5. </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Өзінің пікірін негіздей алады.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ЖЕДЕЛДІЛІК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xml:space="preserve">
D-5. </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xml:space="preserve">
 Өздігінен дамуға ұмтылысын өзінің жеке үлгісінде көрсетеді;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АДАЛДЫҚ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xml:space="preserve">
D-3 (Құрылымдық бөлімшенің басшысы).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xml:space="preserve">
D-5. </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СТРЕССКЕ ОРНЫҚТЫЛЫҚ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xml:space="preserve">
D-3 (Құрылымдық бөлімшенің басшысы).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ЖАУАПКЕРШІЛІК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БАСТАМАШЫЛДЫҚ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D-2;</w:t>
            </w:r>
            <w:r>
              <w:br/>
            </w:r>
            <w:r>
              <w:rPr>
                <w:rFonts w:ascii="Times New Roman"/>
                <w:b w:val="false"/>
                <w:i w:val="false"/>
                <w:color w:val="000000"/>
                <w:sz w:val="20"/>
              </w:rPr>
              <w:t xml:space="preserve">
D-3 (Құрылымдық бөлімшенің басшысы).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 осы бағанның жоғары тұрған қатарында көрсетілген тұлғалардан басқа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Тексеру комиссиясы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___________________________________ Күні: _____________ </w:t>
      </w:r>
      <w:r>
        <w:br/>
      </w: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 Күні: ____________</w:t>
      </w:r>
      <w:r>
        <w:br/>
      </w: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w:t>
      </w:r>
      <w:r>
        <w:br/>
      </w: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