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698f" w14:textId="6476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2018 жылғы 22 маусымдағы № 136/40 шешімі. Павлодар облысының Әділет департаментінде 2018 жылғы 5 шілдеде № 6006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мәслихаттың заңдылық мәселелері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халық саны екі мың адам және одан аз ауылдық округтер үшін 2020 жылғы 1 қаңтардан бастап қолданысқа енгізілетін Регламенттің 4-тармағының 1) - 6) тармақшаларын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 22</w:t>
            </w:r>
            <w:r>
              <w:br/>
            </w:r>
            <w:r>
              <w:rPr>
                <w:rFonts w:ascii="Times New Roman"/>
                <w:b w:val="false"/>
                <w:i w:val="false"/>
                <w:color w:val="000000"/>
                <w:sz w:val="20"/>
              </w:rPr>
              <w:t>маусым № 136/40 шешімімен</w:t>
            </w:r>
            <w:r>
              <w:br/>
            </w:r>
            <w:r>
              <w:rPr>
                <w:rFonts w:ascii="Times New Roman"/>
                <w:b w:val="false"/>
                <w:i w:val="false"/>
                <w:color w:val="000000"/>
                <w:sz w:val="20"/>
              </w:rPr>
              <w:t>бекітілді</w:t>
            </w:r>
          </w:p>
        </w:tc>
      </w:tr>
    </w:tbl>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Шарбақты ауданының ауылдық округтерінің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Павлодар облысы Шарбақты аудандық мәслихатының 05.02.2024 </w:t>
      </w:r>
      <w:r>
        <w:rPr>
          <w:rFonts w:ascii="Times New Roman"/>
          <w:b w:val="false"/>
          <w:i w:val="false"/>
          <w:color w:val="ff0000"/>
          <w:sz w:val="28"/>
        </w:rPr>
        <w:t>№ 67/20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7"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10"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Үлгілік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Start w:name="z24"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Start w:name="z26"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