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cba5" w14:textId="254c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Павлодар аудандық әкімдігінің 2018 жылғы 5 мамырдағы № 124/5 қаулысы. Павлодар облысының Әділет департаментінде 2018 жылғы 24 мамырда № 5980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ауданы әкімдігінің 2017 жылғы 15 наурыздағы "Павлодар ауданы атқарушы органдары "Б" корпусы мемлекеттік әкімшілік қызметшілерінің қызметін бағалау әдістемесін бекіту туралы" № 81/3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5465 тіркелген, 2017 жылғы 20 сәуірде "Заман тынысы" және "Нива"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2018 жылғы "5" мамырдағы</w:t>
            </w:r>
            <w:r>
              <w:br/>
            </w:r>
            <w:r>
              <w:rPr>
                <w:rFonts w:ascii="Times New Roman"/>
                <w:b w:val="false"/>
                <w:i w:val="false"/>
                <w:color w:val="000000"/>
                <w:sz w:val="20"/>
              </w:rPr>
              <w:t>№ 124/5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 әкімдігінің атқарушы органдарының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Павлодар ауданы әкімдігінің 18.01.2024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ауданы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ауданы әкімдігінің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онымен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әлеуетіне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w:t>
            </w:r>
            <w:r>
              <w:br/>
            </w:r>
            <w:r>
              <w:rPr>
                <w:rFonts w:ascii="Times New Roman"/>
                <w:b w:val="false"/>
                <w:i w:val="false"/>
                <w:color w:val="000000"/>
                <w:sz w:val="20"/>
              </w:rPr>
              <w:t>әкімдігінің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