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0034" w14:textId="0bc0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6 ақпандағы № 37/1 қаулысы. Павлодар облысының Әділет департаментінде 2018 жылғы 22 ақпанда № 5869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Павлодар облыстық әкімдігінің 2018 жылғы 6 ақпандағы № 37/1 қаулысы. Павлодар облысының Әділет департаментінде 2018 жылғы 22 ақпанда № 5869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29 желтоқсандағы "Астық және тұқым инспекциясы саласындағы мемлекеттік көрсетілетін қызметтер регламенттерін бекіту туралы" № 368/13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4917 болып тіркелді, 2016 жылғы 6 қарашада "Регион.kz" газетінде жарияланды)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Павлодар облысы әкімінің орынбасары Б.Қ. Қасеновке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"6" ақпандағы</w:t>
            </w:r>
            <w:r>
              <w:br/>
            </w:r>
            <w:r>
              <w:rPr>
                <w:rFonts w:ascii="Times New Roman"/>
                <w:b w:val="false"/>
                <w:i w:val="false"/>
                <w:color w:val="000000"/>
                <w:sz w:val="20"/>
              </w:rPr>
              <w:t>№ 37/1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368/13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"Бірегей және элиталық тұқымдар, бiрiншi,</w:t>
      </w:r>
      <w:r>
        <w:br/>
      </w:r>
      <w:r>
        <w:rPr>
          <w:rFonts w:ascii="Times New Roman"/>
          <w:b/>
          <w:i w:val="false"/>
          <w:color w:val="000000"/>
        </w:rPr>
        <w:t>екiншi және үшiншi көбейтілген тұқым өндiрушiлердi,</w:t>
      </w:r>
      <w:r>
        <w:br/>
      </w:r>
      <w:r>
        <w:rPr>
          <w:rFonts w:ascii="Times New Roman"/>
          <w:b/>
          <w:i w:val="false"/>
          <w:color w:val="000000"/>
        </w:rPr>
        <w:t>тұқым өткізушілерді аттестаттау"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"Бірегей және элиталық тұқым, бiрiншi, екiншi және үшiншi көбейтілген тұқым өндiрушiлердi, тұқым өткізушілерді аттестаттау"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тұлғасында жергілікті атқарушы орган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бекітілген "Бірегей және элиталық тұқымдар,бiрiншi, екiншi және үшiншi көбейтілген тұқым өндiрушiлердi, тұқым өткізушілерді аттестаттау" мемлекеттік көрсетілген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дәлелді бас тарту.</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куәландырылады.</w:t>
      </w:r>
    </w:p>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алушы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көрсетілетін қызметті ұсыну үшін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мерзімдері:</w:t>
      </w:r>
    </w:p>
    <w:bookmarkEnd w:id="13"/>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18 (он сегіз) жұмыс күні.</w:t>
      </w:r>
    </w:p>
    <w:bookmarkStart w:name="z16" w:id="1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берген сәттен бастап оларды қабылдайды және тіркейді, құжаттарды көрсетілетін қызметті берушінің басшысына бұрыштама қоюға жолдайды –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және бұрыштама қояды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құжаттарының толықтығын тексереді, ұсынылған құжаттар топтамасының толық еместігі анықталған жағдайда,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дәлелді бас тартады, ұсынылған құжаттардың толықтығы анықталған жағдайда құжаттарды облыс әкімдігінің қаулысымен бекітілген бірегей, элиталық тұқым, бірінші, екінші және үшінші көбейтілген тұқым өндірушілерге және тұқым өткізушілерге қойылатын талаптарына көрсетілетін қызметті алушының сәйкестік деңгейін анықтау жөніндегі аттестаттау комиссиясының (бұдан әрі – комиссия) қарауына жолдайды – 2 (екі) жұмыс күні ішінде;</w:t>
      </w:r>
    </w:p>
    <w:p>
      <w:pPr>
        <w:spacing w:after="0"/>
        <w:ind w:left="0"/>
        <w:jc w:val="both"/>
      </w:pPr>
      <w:r>
        <w:rPr>
          <w:rFonts w:ascii="Times New Roman"/>
          <w:b w:val="false"/>
          <w:i w:val="false"/>
          <w:color w:val="000000"/>
          <w:sz w:val="28"/>
        </w:rPr>
        <w:t>
      4) құжаттардың толық топтамасы ұсынылған жағдайда комиссия жергілікті жерге барып, талаптарға сәйкестік деңгейін тексереді, тексеру актісін жасайды – 8 (сегіз) жұмыс күні ішінде;</w:t>
      </w:r>
    </w:p>
    <w:p>
      <w:pPr>
        <w:spacing w:after="0"/>
        <w:ind w:left="0"/>
        <w:jc w:val="both"/>
      </w:pPr>
      <w:r>
        <w:rPr>
          <w:rFonts w:ascii="Times New Roman"/>
          <w:b w:val="false"/>
          <w:i w:val="false"/>
          <w:color w:val="000000"/>
          <w:sz w:val="28"/>
        </w:rPr>
        <w:t>
      5) құжаттарды, сондай-ақ тексеру актісін қарау нәтижелері бойынша комиссия аттестаттау туралы куәлікті беру немесе аттестаттау туралы куәлікті беруден бас тарту жөніндегі шешім қабылдайды және барлық комиссия мүшелерімен қол қойылған хаттама түрінде шешім ресімдейді – 2 (екі)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комиссияның оң шешімі негізінде облыс әкімдігі қаулысының жобасын дайындайды және келісімдейді, көрсетілетін қызметті алушыға бiрегей тұқымдар өндiрушiлерге, элиталық тұқым өсіру шаруашылықтары, тұқым өсіру шаруашылықтары, тұқым өткiзушiлер мәртебелерін беру туралы қаулы негізінде аттестаттау туралы куәлікті дайындайды – 5 (бес) жұмыс күні;</w:t>
      </w:r>
    </w:p>
    <w:p>
      <w:pPr>
        <w:spacing w:after="0"/>
        <w:ind w:left="0"/>
        <w:jc w:val="both"/>
      </w:pPr>
      <w:r>
        <w:rPr>
          <w:rFonts w:ascii="Times New Roman"/>
          <w:b w:val="false"/>
          <w:i w:val="false"/>
          <w:color w:val="000000"/>
          <w:sz w:val="28"/>
        </w:rPr>
        <w:t>
      7) көрсетілетін қызметті берушінің басшысы көрсетілетін қызметтің нәтижесіне қол қояды және көрсетілетін қызметті алушыға беру үшін көрсетілетін қызметті берушінің кеңсесіне жолдайды – 15 (он бес) минут;</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береді – 15 (он бес) минут.</w:t>
      </w:r>
    </w:p>
    <w:bookmarkStart w:name="z17" w:id="15"/>
    <w:p>
      <w:pPr>
        <w:spacing w:after="0"/>
        <w:ind w:left="0"/>
        <w:jc w:val="both"/>
      </w:pPr>
      <w:r>
        <w:rPr>
          <w:rFonts w:ascii="Times New Roman"/>
          <w:b w:val="false"/>
          <w:i w:val="false"/>
          <w:color w:val="000000"/>
          <w:sz w:val="28"/>
        </w:rPr>
        <w:t xml:space="preserve">
      7. Мемлекеттік қызметті көрсету рәсімінің (іс-қимылының) нәтижесі аттестаттау туралы куәлік беру немесе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дәлелді бас тарту болып табылады.</w:t>
      </w:r>
    </w:p>
    <w:bookmarkEnd w:id="15"/>
    <w:bookmarkStart w:name="z18"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8. Мемлекеттік қызметті көрсету процесінде келесі құрылымдық бөлімшелер қатысады: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20" w:id="18"/>
    <w:p>
      <w:pPr>
        <w:spacing w:after="0"/>
        <w:ind w:left="0"/>
        <w:jc w:val="both"/>
      </w:pPr>
      <w:r>
        <w:rPr>
          <w:rFonts w:ascii="Times New Roman"/>
          <w:b w:val="false"/>
          <w:i w:val="false"/>
          <w:color w:val="000000"/>
          <w:sz w:val="28"/>
        </w:rPr>
        <w:t xml:space="preserve">
      9. Әрбір рәсімнің (іс-қимылдың) орындалу ұзақтығын көрсетумен көрсетілетін қызметті берушінің құрылымдық бөлімшілері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10. Әрбір рәсімді (іс-қимылды) көрсетумен Мемлекеттік корпорацияға жүгіну тәртібін сипаттау:</w:t>
      </w:r>
    </w:p>
    <w:bookmarkEnd w:id="2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 қызметкеріне қажетті құжаттарды және өтінішті тапсырады, ол қабылдауды операциялық залда жүзеге асырады. Өтініштерді қабылдау және нәтижелерді беру жеделдетілген қызмет көрсетусіз "электрондық кезек" тәртібімен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қызметті көрсету үшін Мемлекеттік корпорация қызметкерінің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 (бұдан әрі – ЖТ МДҚ) көрсетілетін қызметті алушының деректері туралы, сондай-ақ Бірыңғай нотариалдық ақпараттық жүйеге (бұдан әрі – БНАЖ)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Мемлекеттік корпорация қызметкерінің ЭЦҚ-мен куәландырылған (қол қойылған) электрондық құжаттарды (көрсетілетін қызметті алушының сұрауын) жіберу.</w:t>
      </w:r>
    </w:p>
    <w:bookmarkStart w:name="z23" w:id="21"/>
    <w:p>
      <w:pPr>
        <w:spacing w:after="0"/>
        <w:ind w:left="0"/>
        <w:jc w:val="both"/>
      </w:pPr>
      <w:r>
        <w:rPr>
          <w:rFonts w:ascii="Times New Roman"/>
          <w:b w:val="false"/>
          <w:i w:val="false"/>
          <w:color w:val="000000"/>
          <w:sz w:val="28"/>
        </w:rPr>
        <w:t>
      11. Әрбір рәсімді (іс-қимылды) көрсете отырып, мемлекеттік қызметті көрсетудің нәтижесін Мемлекеттік корпорация арқылы алу процесін сипаттау:</w:t>
      </w:r>
    </w:p>
    <w:bookmarkEnd w:id="21"/>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 (өңдеуі);</w:t>
      </w:r>
    </w:p>
    <w:p>
      <w:pPr>
        <w:spacing w:after="0"/>
        <w:ind w:left="0"/>
        <w:jc w:val="both"/>
      </w:pPr>
      <w:r>
        <w:rPr>
          <w:rFonts w:ascii="Times New Roman"/>
          <w:b w:val="false"/>
          <w:i w:val="false"/>
          <w:color w:val="000000"/>
          <w:sz w:val="28"/>
        </w:rPr>
        <w:t xml:space="preserve">
      3) 7-процесс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 </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ӨЭҮШ АЖО-да қалыптастырылған қызметтің нәтижесін алуы.</w:t>
      </w:r>
    </w:p>
    <w:bookmarkStart w:name="z24" w:id="22"/>
    <w:p>
      <w:pPr>
        <w:spacing w:after="0"/>
        <w:ind w:left="0"/>
        <w:jc w:val="both"/>
      </w:pPr>
      <w:r>
        <w:rPr>
          <w:rFonts w:ascii="Times New Roman"/>
          <w:b w:val="false"/>
          <w:i w:val="false"/>
          <w:color w:val="000000"/>
          <w:sz w:val="28"/>
        </w:rPr>
        <w:t>
      12. Портал арқылы жүгінген кезде тәртіпті сипаттау:</w:t>
      </w:r>
    </w:p>
    <w:bookmarkEnd w:id="22"/>
    <w:p>
      <w:pPr>
        <w:spacing w:after="0"/>
        <w:ind w:left="0"/>
        <w:jc w:val="both"/>
      </w:pPr>
      <w:r>
        <w:rPr>
          <w:rFonts w:ascii="Times New Roman"/>
          <w:b w:val="false"/>
          <w:i w:val="false"/>
          <w:color w:val="000000"/>
          <w:sz w:val="28"/>
        </w:rPr>
        <w:t>
      порталға жүгінген кезде құжаттар топтамасын тапсырған күннен бастап – 18 (он сегіз)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 және/немесе бизнес-сәйкестендіру нөмірінің (бұдан әрі – ЖСН/БСН),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ЖСН/БСН мен парольді енгізуі (авторизациялау процесі);</w:t>
      </w:r>
    </w:p>
    <w:p>
      <w:pPr>
        <w:spacing w:after="0"/>
        <w:ind w:left="0"/>
        <w:jc w:val="both"/>
      </w:pPr>
      <w:r>
        <w:rPr>
          <w:rFonts w:ascii="Times New Roman"/>
          <w:b w:val="false"/>
          <w:i w:val="false"/>
          <w:color w:val="000000"/>
          <w:sz w:val="28"/>
        </w:rPr>
        <w:t>
      3) 1-шарт – ЖСН/БСН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стандартта көрсетілген қажетті құжаттардың электрондық түрде көшірмелерін сұраныс нысанына бекіте отырып, көрсетілетін қызметті алушының нысанды толтыруы (деректерді енгізуі), сондай-ақ сұранысты куәландыру (қол қою) үшін көрсетілетін қызметті алушының ЭЦҚ-мен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мен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ЭЦҚ-ның түпнұсқасы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5" w:id="23"/>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қызметті көрсету үшін қажетті әрбір рәсімнің</w:t>
      </w:r>
      <w:r>
        <w:br/>
      </w:r>
      <w:r>
        <w:rPr>
          <w:rFonts w:ascii="Times New Roman"/>
          <w:b/>
          <w:i w:val="false"/>
          <w:color w:val="000000"/>
        </w:rPr>
        <w:t>(іс-қимылдың) ұзақтығын көрсетумен көрсетілетін қызметті</w:t>
      </w:r>
      <w:r>
        <w:br/>
      </w:r>
      <w:r>
        <w:rPr>
          <w:rFonts w:ascii="Times New Roman"/>
          <w:b/>
          <w:i w:val="false"/>
          <w:color w:val="000000"/>
        </w:rPr>
        <w:t>берушінің құрылымдық бөлімшелері (қызметкерлері)</w:t>
      </w:r>
      <w:r>
        <w:br/>
      </w:r>
      <w:r>
        <w:rPr>
          <w:rFonts w:ascii="Times New Roman"/>
          <w:b/>
          <w:i w:val="false"/>
          <w:color w:val="000000"/>
        </w:rPr>
        <w:t>арасындағы рәсімдердің (іс-қимылдардың) реттілігінің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226"/>
        <w:gridCol w:w="1228"/>
        <w:gridCol w:w="861"/>
        <w:gridCol w:w="2123"/>
        <w:gridCol w:w="1312"/>
        <w:gridCol w:w="2097"/>
        <w:gridCol w:w="1228"/>
        <w:gridCol w:w="976"/>
        <w:gridCol w:w="947"/>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және қоса берілген құжаттарын қабылдау, тіркеу, қолхат беру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бұрышама қою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құжаттарының толықтығын тексеру.</w:t>
            </w:r>
            <w:r>
              <w:br/>
            </w:r>
            <w:r>
              <w:rPr>
                <w:rFonts w:ascii="Times New Roman"/>
                <w:b w:val="false"/>
                <w:i w:val="false"/>
                <w:color w:val="000000"/>
                <w:sz w:val="20"/>
              </w:rPr>
              <w:t xml:space="preserve">
Ұсынылған құжаттардың толық еместігі фактісі анықталған жағдайда, стандарттың </w:t>
            </w:r>
            <w:r>
              <w:rPr>
                <w:rFonts w:ascii="Times New Roman"/>
                <w:b w:val="false"/>
                <w:i w:val="false"/>
                <w:color w:val="000000"/>
                <w:sz w:val="20"/>
              </w:rPr>
              <w:t>10-1-тармағында</w:t>
            </w:r>
            <w:r>
              <w:rPr>
                <w:rFonts w:ascii="Times New Roman"/>
                <w:b w:val="false"/>
                <w:i w:val="false"/>
                <w:color w:val="000000"/>
                <w:sz w:val="20"/>
              </w:rPr>
              <w:t xml:space="preserve"> көрсетілген негіздер бойынша дәлелді бас тарту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ұсынылған жағдайда комиссия жергілікті жерге барып, талаптарға сәйкестік мәніне өтініш берушіні тексеру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сондай-ақ тексеру актісін қарау нәтижелері бойынша комиссия аттестаттау туралы куәлікті беру немесе аттестаттау туралы куәлікті беруден бас тарту жөніндегі шешім қабылдау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қаулысының жобасын дайындау және келісу, қаулыны облыс әкімдігімен бекіту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куәлікке қол қою немесе дәлелді бас тарту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аттестаттау туралы куәлікті беру немесе дәлелді бас тарту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басшысына жолдау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қоса берілген құжаттарды жауапты орындаушыға тапсыру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комиссияның қарауына жолдау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сәйкестік мәніне тексеру актісін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ресімдеу және оған барлық комиссия мүшелерінің қол қоюы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Қөрсетілетін қызметті алушыға мәртебе беру туралы облыс әкімдігінің қаулысы негізінде аттестаттау туралы куәлікті дайындау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көрсетілетін қызметті алушыға беру үшін кеңсеге жолдау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өтініш берушіге беру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ішінде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18 (он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 xml:space="preserve">функционалдық өзара іс-қимыл диаграммасы </w:t>
      </w:r>
    </w:p>
    <w:bookmarkEnd w:id="25"/>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p>
    <w:bookmarkStart w:name="z30"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5943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43600" cy="589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"Бірегей және элиталық тұқымдар, бiрiншi, екiншi және үшiншi</w:t>
      </w:r>
      <w:r>
        <w:br/>
      </w:r>
      <w:r>
        <w:rPr>
          <w:rFonts w:ascii="Times New Roman"/>
          <w:b/>
          <w:i w:val="false"/>
          <w:color w:val="000000"/>
        </w:rPr>
        <w:t>көбейтілген тұқым өндiрушiлердi, тұқым өткізушілерді аттестаттау"</w:t>
      </w:r>
      <w:r>
        <w:br/>
      </w:r>
      <w:r>
        <w:rPr>
          <w:rFonts w:ascii="Times New Roman"/>
          <w:b/>
          <w:i w:val="false"/>
          <w:color w:val="000000"/>
        </w:rPr>
        <w:t xml:space="preserve">мемлекеттік қызмет көрсетудің бизнес-процестерінің анықтамалығы </w:t>
      </w:r>
    </w:p>
    <w:bookmarkEnd w:id="27"/>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68072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2247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