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a09" w14:textId="582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140 "Науырзым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8 тамыздағы № 214 шешімі. Қостанай облысының Әділет департаментінде 2018 жылғы 25 тамызда № 8013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2018-2020 жылдарға арналған аудандық бюджеті туралы" шешіміне (Нормативтік құқықтық актілерді мемлекеттік тіркеу тізілімінде № 7450 болып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2 492 195,0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237 356,0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5 849,0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2 248 490,0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2 527 508,1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7 162,0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10 994,0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3 832,0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-42 475,1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42 475,1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10 994,0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3 832,0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35 313,1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аудандық бюджетте республикалық бюджеттен қаражаттар түсімі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10994,0 мың теңге сомасында.";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 жылға арналған аудандық бюджетте облыстық бюджеттен ағымдағы нысаналы трансферттер түсімінің көзделгені ескерілсін, оның ішінде: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 үшін 8 167,0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 сыныптардағы қосымша білім беретін педагогтардың жалақыларына 771,8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жоғары жылдамдық интернетке қосылуы үшін 327,0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қонысаударушылар және оралмандар үшін тұрғын үйді жалдау (жалға алу) үшін шығыстарды өтеуге 633,0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кәсiпкерлiктi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еңбек нарығында сұранысқа ие жұмысшы кадрларды қажетті мамандықтар мен дағдыларды, мобильді орталықтарда кадрларды оқытуды қоса алғанда қысқа мерзiмдi кәсiби даярлауға 5979,0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халықты жұмыспен қамту саласындағы жеке жұмыспен қамту жекеше агенттіктерінің қызмет көрсету аутсорсингіне 1 096,0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"Өлеңді-Буревестник" аудандық маңызы бар автомобиль жолының учаскесін орташа жөндеуге 0-10 шақырымға 240 181,0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шекараларды орнатуға және қазып салуға 3 010,0 мың теңге сомасында;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жануарлардың энзоотиялық аурулары бойынша ветеринарлық іс-шаралар жүргізуге 4 565,0 мың теңге сомасында;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3 168,0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мүйізді ірі қара малының нодулярлы дерматитке қарсы эпизоотияға қарсы іс-шараларды жүргізуге 3 013,0 мың теңге сомасында.";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бөлімі"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"8" тамыз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2018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 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 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