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ae04" w14:textId="d9da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Пригородное ауылының құрамдас бөліктеріне қайта атау беру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2018 жылғы 12 маусымдағы № 1 шешімі. Қостанай облысының Әділет департаментінде 2018 жылғы 5 шілдеде № 7928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Жітіқара ауданы Пригородное ауылы халқының пiкiрiн ескере отырып, 2017 жылғы 16 қарашадағы облыстық ономастика комиссиясының қорытындысы негізінде Пригородное ауылының әкімі ШЕШІМ ҚАБЫЛДАДЫ:</w:t>
      </w:r>
    </w:p>
    <w:bookmarkEnd w:id="0"/>
    <w:bookmarkStart w:name="z5" w:id="1"/>
    <w:p>
      <w:pPr>
        <w:spacing w:after="0"/>
        <w:ind w:left="0"/>
        <w:jc w:val="both"/>
      </w:pPr>
      <w:r>
        <w:rPr>
          <w:rFonts w:ascii="Times New Roman"/>
          <w:b w:val="false"/>
          <w:i w:val="false"/>
          <w:color w:val="000000"/>
          <w:sz w:val="28"/>
        </w:rPr>
        <w:t>
      1. Пригородное ауылының көшелері атаулары қайта аталсын:</w:t>
      </w:r>
    </w:p>
    <w:bookmarkEnd w:id="1"/>
    <w:bookmarkStart w:name="z6" w:id="2"/>
    <w:p>
      <w:pPr>
        <w:spacing w:after="0"/>
        <w:ind w:left="0"/>
        <w:jc w:val="both"/>
      </w:pPr>
      <w:r>
        <w:rPr>
          <w:rFonts w:ascii="Times New Roman"/>
          <w:b w:val="false"/>
          <w:i w:val="false"/>
          <w:color w:val="000000"/>
          <w:sz w:val="28"/>
        </w:rPr>
        <w:t>
      1) "Павлик Морозов" көшесін "Бейбітшілік" көшесіне;</w:t>
      </w:r>
    </w:p>
    <w:bookmarkEnd w:id="2"/>
    <w:bookmarkStart w:name="z7" w:id="3"/>
    <w:p>
      <w:pPr>
        <w:spacing w:after="0"/>
        <w:ind w:left="0"/>
        <w:jc w:val="both"/>
      </w:pPr>
      <w:r>
        <w:rPr>
          <w:rFonts w:ascii="Times New Roman"/>
          <w:b w:val="false"/>
          <w:i w:val="false"/>
          <w:color w:val="000000"/>
          <w:sz w:val="28"/>
        </w:rPr>
        <w:t>
      2) "21 Партсъезда" көшесін "Жақсы" көшесіне.</w:t>
      </w:r>
    </w:p>
    <w:bookmarkEnd w:id="3"/>
    <w:bookmarkStart w:name="z8" w:id="4"/>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6"/>
    <w:bookmarkStart w:name="z11" w:id="7"/>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Пригородный ауылы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