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c8b1" w14:textId="004c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 маусымдағы № 202 шешімі. Қызылорда облысының Әділет департаментінде 2018 жылғы 4 маусымда № 6302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нормативтік-құқықтық актілерінің электрондық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облыстық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199 984 655,2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18 867 940,5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2 847 276,0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178 261 138,7 мың теңге;</w:t>
      </w:r>
    </w:p>
    <w:bookmarkEnd w:id="7"/>
    <w:bookmarkStart w:name="z13" w:id="8"/>
    <w:p>
      <w:pPr>
        <w:spacing w:after="0"/>
        <w:ind w:left="0"/>
        <w:jc w:val="both"/>
      </w:pPr>
      <w:r>
        <w:rPr>
          <w:rFonts w:ascii="Times New Roman"/>
          <w:b w:val="false"/>
          <w:i w:val="false"/>
          <w:color w:val="000000"/>
          <w:sz w:val="28"/>
        </w:rPr>
        <w:t>
      2) шығындар – 195 817 304,7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2 678 548,0 мың теңге;</w:t>
      </w:r>
    </w:p>
    <w:bookmarkEnd w:id="9"/>
    <w:bookmarkStart w:name="z15" w:id="10"/>
    <w:p>
      <w:pPr>
        <w:spacing w:after="0"/>
        <w:ind w:left="0"/>
        <w:jc w:val="both"/>
      </w:pPr>
      <w:r>
        <w:rPr>
          <w:rFonts w:ascii="Times New Roman"/>
          <w:b w:val="false"/>
          <w:i w:val="false"/>
          <w:color w:val="000000"/>
          <w:sz w:val="28"/>
        </w:rPr>
        <w:t>
      бюджеттік кредиттер – 12 199 667,0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9 521 119,0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5 105 480,0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5 105 480,0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-3 616 677,5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3 616 677,5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24), 25) тармақшаларымен толықтырылсын:</w:t>
      </w:r>
    </w:p>
    <w:bookmarkStart w:name="z23" w:id="17"/>
    <w:p>
      <w:pPr>
        <w:spacing w:after="0"/>
        <w:ind w:left="0"/>
        <w:jc w:val="both"/>
      </w:pPr>
      <w:r>
        <w:rPr>
          <w:rFonts w:ascii="Times New Roman"/>
          <w:b w:val="false"/>
          <w:i w:val="false"/>
          <w:color w:val="000000"/>
          <w:sz w:val="28"/>
        </w:rPr>
        <w:t>
      "24) I топтағы мүгедектер үшін жеке көмекшінің әлеуметтік қызметтеріне ақы төлеу;</w:t>
      </w:r>
    </w:p>
    <w:bookmarkEnd w:id="17"/>
    <w:bookmarkStart w:name="z24" w:id="18"/>
    <w:p>
      <w:pPr>
        <w:spacing w:after="0"/>
        <w:ind w:left="0"/>
        <w:jc w:val="both"/>
      </w:pPr>
      <w:r>
        <w:rPr>
          <w:rFonts w:ascii="Times New Roman"/>
          <w:b w:val="false"/>
          <w:i w:val="false"/>
          <w:color w:val="000000"/>
          <w:sz w:val="28"/>
        </w:rPr>
        <w:t>
      25) Қызылорда қаласының 200 жылдығына арналған мерекелік іс-шаралар өткізу.";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мазмұндағы 9), 10), 11) тармақшаларымен толықтырылсын:</w:t>
      </w:r>
    </w:p>
    <w:bookmarkStart w:name="z26" w:id="19"/>
    <w:p>
      <w:pPr>
        <w:spacing w:after="0"/>
        <w:ind w:left="0"/>
        <w:jc w:val="both"/>
      </w:pPr>
      <w:r>
        <w:rPr>
          <w:rFonts w:ascii="Times New Roman"/>
          <w:b w:val="false"/>
          <w:i w:val="false"/>
          <w:color w:val="000000"/>
          <w:sz w:val="28"/>
        </w:rPr>
        <w:t>
      "9) көлiк инфрақұрылымының басым жобаларын қаржыландыру;</w:t>
      </w:r>
    </w:p>
    <w:bookmarkEnd w:id="19"/>
    <w:bookmarkStart w:name="z27" w:id="20"/>
    <w:p>
      <w:pPr>
        <w:spacing w:after="0"/>
        <w:ind w:left="0"/>
        <w:jc w:val="both"/>
      </w:pPr>
      <w:r>
        <w:rPr>
          <w:rFonts w:ascii="Times New Roman"/>
          <w:b w:val="false"/>
          <w:i w:val="false"/>
          <w:color w:val="000000"/>
          <w:sz w:val="28"/>
        </w:rPr>
        <w:t>
      10)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w:t>
      </w:r>
    </w:p>
    <w:bookmarkEnd w:id="20"/>
    <w:bookmarkStart w:name="z28" w:id="21"/>
    <w:p>
      <w:pPr>
        <w:spacing w:after="0"/>
        <w:ind w:left="0"/>
        <w:jc w:val="both"/>
      </w:pPr>
      <w:r>
        <w:rPr>
          <w:rFonts w:ascii="Times New Roman"/>
          <w:b w:val="false"/>
          <w:i w:val="false"/>
          <w:color w:val="000000"/>
          <w:sz w:val="28"/>
        </w:rPr>
        <w:t>
      11)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6) тармақшалары жаңа редакцияда жазылсын:</w:t>
      </w:r>
    </w:p>
    <w:bookmarkStart w:name="z30" w:id="22"/>
    <w:p>
      <w:pPr>
        <w:spacing w:after="0"/>
        <w:ind w:left="0"/>
        <w:jc w:val="both"/>
      </w:pPr>
      <w:r>
        <w:rPr>
          <w:rFonts w:ascii="Times New Roman"/>
          <w:b w:val="false"/>
          <w:i w:val="false"/>
          <w:color w:val="000000"/>
          <w:sz w:val="28"/>
        </w:rPr>
        <w:t>
      "5) коммуналдық тұрғын үй қорының тұрғын үйін салу және (немесе) реконструкциялау;</w:t>
      </w:r>
    </w:p>
    <w:bookmarkEnd w:id="22"/>
    <w:bookmarkStart w:name="z31" w:id="23"/>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11) тармақшамен толықтырылсын:</w:t>
      </w:r>
    </w:p>
    <w:bookmarkStart w:name="z33" w:id="24"/>
    <w:p>
      <w:pPr>
        <w:spacing w:after="0"/>
        <w:ind w:left="0"/>
        <w:jc w:val="both"/>
      </w:pPr>
      <w:r>
        <w:rPr>
          <w:rFonts w:ascii="Times New Roman"/>
          <w:b w:val="false"/>
          <w:i w:val="false"/>
          <w:color w:val="000000"/>
          <w:sz w:val="28"/>
        </w:rPr>
        <w:t>
      "11) мал көмінділерінің құрылысы.";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5"/>
    <w:p>
      <w:pPr>
        <w:spacing w:after="0"/>
        <w:ind w:left="0"/>
        <w:jc w:val="both"/>
      </w:pPr>
      <w:r>
        <w:rPr>
          <w:rFonts w:ascii="Times New Roman"/>
          <w:b w:val="false"/>
          <w:i w:val="false"/>
          <w:color w:val="000000"/>
          <w:sz w:val="28"/>
        </w:rPr>
        <w:t xml:space="preserve">
      "10. Облыстың жергілікті атқарушы органының 2018 жылға арналған резерві 309 279,7 мың теңге сомасында бекітілсін."; </w:t>
      </w:r>
    </w:p>
    <w:bookmarkEnd w:id="25"/>
    <w:bookmarkStart w:name="z36"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6"/>
    <w:bookmarkStart w:name="z37" w:id="27"/>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20-сессиясының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Үйреков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 маусымдағы 20-сессиясының № 202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2017 жылғы "12" желтоқсандағы 17-сессиясының № 157 шешіміне 1-қосымша </w:t>
            </w:r>
          </w:p>
        </w:tc>
      </w:tr>
    </w:tbl>
    <w:bookmarkStart w:name="z42" w:id="28"/>
    <w:p>
      <w:pPr>
        <w:spacing w:after="0"/>
        <w:ind w:left="0"/>
        <w:jc w:val="left"/>
      </w:pPr>
      <w:r>
        <w:rPr>
          <w:rFonts w:ascii="Times New Roman"/>
          <w:b/>
          <w:i w:val="false"/>
          <w:color w:val="000000"/>
        </w:rPr>
        <w:t xml:space="preserve"> 2018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Санаты </w:t>
            </w:r>
          </w:p>
          <w:bookmarkEnd w:id="2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тьеңге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199 984 655,2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18 867 940,5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9 655 884,5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2</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3</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4</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178 261 138,7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175 075 313,0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175 075 313,0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Функционалдық топ</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195 817 304,7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01</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02</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03</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04</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17 200 304,2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3 464 807,3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p>
            <w:pPr>
              <w:spacing w:after="20"/>
              <w:ind w:left="20"/>
              <w:jc w:val="both"/>
            </w:pP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2"/>
          <w:p>
            <w:pPr>
              <w:spacing w:after="20"/>
              <w:ind w:left="20"/>
              <w:jc w:val="both"/>
            </w:pPr>
            <w:r>
              <w:rPr>
                <w:rFonts w:ascii="Times New Roman"/>
                <w:b w:val="false"/>
                <w:i w:val="false"/>
                <w:color w:val="000000"/>
                <w:sz w:val="20"/>
              </w:rPr>
              <w:t>
05</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06</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07</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16 895 884,6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08</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3"/>
          <w:p>
            <w:pPr>
              <w:spacing w:after="20"/>
              <w:ind w:left="20"/>
              <w:jc w:val="both"/>
            </w:pPr>
            <w:r>
              <w:rPr>
                <w:rFonts w:ascii="Times New Roman"/>
                <w:b w:val="false"/>
                <w:i w:val="false"/>
                <w:color w:val="000000"/>
                <w:sz w:val="20"/>
              </w:rPr>
              <w:t>
 </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4"/>
          <w:p>
            <w:pPr>
              <w:spacing w:after="20"/>
              <w:ind w:left="20"/>
              <w:jc w:val="both"/>
            </w:pPr>
            <w:r>
              <w:rPr>
                <w:rFonts w:ascii="Times New Roman"/>
                <w:b w:val="false"/>
                <w:i w:val="false"/>
                <w:color w:val="000000"/>
                <w:sz w:val="20"/>
              </w:rPr>
              <w:t>
 </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5"/>
          <w:p>
            <w:pPr>
              <w:spacing w:after="20"/>
              <w:ind w:left="20"/>
              <w:jc w:val="both"/>
            </w:pPr>
            <w:r>
              <w:rPr>
                <w:rFonts w:ascii="Times New Roman"/>
                <w:b w:val="false"/>
                <w:i w:val="false"/>
                <w:color w:val="000000"/>
                <w:sz w:val="20"/>
              </w:rPr>
              <w:t>
 </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7"/>
          <w:p>
            <w:pPr>
              <w:spacing w:after="20"/>
              <w:ind w:left="20"/>
              <w:jc w:val="both"/>
            </w:pPr>
            <w:r>
              <w:rPr>
                <w:rFonts w:ascii="Times New Roman"/>
                <w:b w:val="false"/>
                <w:i w:val="false"/>
                <w:color w:val="000000"/>
                <w:sz w:val="20"/>
              </w:rPr>
              <w:t>
 </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09</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5 907 857,3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2 966 975,3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6"/>
          <w:p>
            <w:pPr>
              <w:spacing w:after="20"/>
              <w:ind w:left="20"/>
              <w:jc w:val="both"/>
            </w:pPr>
            <w:r>
              <w:rPr>
                <w:rFonts w:ascii="Times New Roman"/>
                <w:b w:val="false"/>
                <w:i w:val="false"/>
                <w:color w:val="000000"/>
                <w:sz w:val="20"/>
              </w:rPr>
              <w:t>
 </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8"/>
          <w:p>
            <w:pPr>
              <w:spacing w:after="20"/>
              <w:ind w:left="20"/>
              <w:jc w:val="both"/>
            </w:pPr>
            <w:r>
              <w:rPr>
                <w:rFonts w:ascii="Times New Roman"/>
                <w:b w:val="false"/>
                <w:i w:val="false"/>
                <w:color w:val="000000"/>
                <w:sz w:val="20"/>
              </w:rPr>
              <w:t>
10</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11</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12</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13</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14</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15</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68 504 174,6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68 504 174,6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07</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10</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10</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10</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13</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13</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5</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5</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5</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13</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9"/>
          <w:p>
            <w:pPr>
              <w:spacing w:after="20"/>
              <w:ind w:left="20"/>
              <w:jc w:val="both"/>
            </w:pPr>
            <w:r>
              <w:rPr>
                <w:rFonts w:ascii="Times New Roman"/>
                <w:b w:val="false"/>
                <w:i w:val="false"/>
                <w:color w:val="000000"/>
                <w:sz w:val="20"/>
              </w:rPr>
              <w:t>
13</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0"/>
          <w:p>
            <w:pPr>
              <w:spacing w:after="20"/>
              <w:ind w:left="20"/>
              <w:jc w:val="both"/>
            </w:pPr>
            <w:r>
              <w:rPr>
                <w:rFonts w:ascii="Times New Roman"/>
                <w:b w:val="false"/>
                <w:i w:val="false"/>
                <w:color w:val="000000"/>
                <w:sz w:val="20"/>
              </w:rPr>
              <w:t>
13</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1"/>
          <w:p>
            <w:pPr>
              <w:spacing w:after="20"/>
              <w:ind w:left="20"/>
              <w:jc w:val="both"/>
            </w:pPr>
            <w:r>
              <w:rPr>
                <w:rFonts w:ascii="Times New Roman"/>
                <w:b w:val="false"/>
                <w:i w:val="false"/>
                <w:color w:val="000000"/>
                <w:sz w:val="20"/>
              </w:rPr>
              <w:t>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2"/>
          <w:p>
            <w:pPr>
              <w:spacing w:after="20"/>
              <w:ind w:left="20"/>
              <w:jc w:val="both"/>
            </w:pPr>
            <w:r>
              <w:rPr>
                <w:rFonts w:ascii="Times New Roman"/>
                <w:b w:val="false"/>
                <w:i w:val="false"/>
                <w:color w:val="000000"/>
                <w:sz w:val="20"/>
              </w:rPr>
              <w:t>
 </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3"/>
          <w:p>
            <w:pPr>
              <w:spacing w:after="20"/>
              <w:ind w:left="20"/>
              <w:jc w:val="both"/>
            </w:pPr>
            <w:r>
              <w:rPr>
                <w:rFonts w:ascii="Times New Roman"/>
                <w:b w:val="false"/>
                <w:i w:val="false"/>
                <w:color w:val="000000"/>
                <w:sz w:val="20"/>
              </w:rPr>
              <w:t>
13</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4"/>
          <w:p>
            <w:pPr>
              <w:spacing w:after="20"/>
              <w:ind w:left="20"/>
              <w:jc w:val="both"/>
            </w:pPr>
            <w:r>
              <w:rPr>
                <w:rFonts w:ascii="Times New Roman"/>
                <w:b w:val="false"/>
                <w:i w:val="false"/>
                <w:color w:val="000000"/>
                <w:sz w:val="20"/>
              </w:rPr>
              <w:t>
13</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5"/>
          <w:p>
            <w:pPr>
              <w:spacing w:after="20"/>
              <w:ind w:left="20"/>
              <w:jc w:val="both"/>
            </w:pPr>
            <w:r>
              <w:rPr>
                <w:rFonts w:ascii="Times New Roman"/>
                <w:b w:val="false"/>
                <w:i w:val="false"/>
                <w:color w:val="000000"/>
                <w:sz w:val="20"/>
              </w:rPr>
              <w:t>
6</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6"/>
          <w:p>
            <w:pPr>
              <w:spacing w:after="20"/>
              <w:ind w:left="20"/>
              <w:jc w:val="both"/>
            </w:pPr>
            <w:r>
              <w:rPr>
                <w:rFonts w:ascii="Times New Roman"/>
                <w:b w:val="false"/>
                <w:i w:val="false"/>
                <w:color w:val="000000"/>
                <w:sz w:val="20"/>
              </w:rPr>
              <w:t>
 </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7"/>
          <w:p>
            <w:pPr>
              <w:spacing w:after="20"/>
              <w:ind w:left="20"/>
              <w:jc w:val="both"/>
            </w:pPr>
            <w:r>
              <w:rPr>
                <w:rFonts w:ascii="Times New Roman"/>
                <w:b w:val="false"/>
                <w:i w:val="false"/>
                <w:color w:val="000000"/>
                <w:sz w:val="20"/>
              </w:rPr>
              <w:t>
 </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8"/>
          <w:p>
            <w:pPr>
              <w:spacing w:after="20"/>
              <w:ind w:left="20"/>
              <w:jc w:val="both"/>
            </w:pPr>
            <w:r>
              <w:rPr>
                <w:rFonts w:ascii="Times New Roman"/>
                <w:b w:val="false"/>
                <w:i w:val="false"/>
                <w:color w:val="000000"/>
                <w:sz w:val="20"/>
              </w:rPr>
              <w:t>
7</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9"/>
          <w:p>
            <w:pPr>
              <w:spacing w:after="20"/>
              <w:ind w:left="20"/>
              <w:jc w:val="both"/>
            </w:pPr>
            <w:r>
              <w:rPr>
                <w:rFonts w:ascii="Times New Roman"/>
                <w:b w:val="false"/>
                <w:i w:val="false"/>
                <w:color w:val="000000"/>
                <w:sz w:val="20"/>
              </w:rPr>
              <w:t>
 </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0"/>
          <w:p>
            <w:pPr>
              <w:spacing w:after="20"/>
              <w:ind w:left="20"/>
              <w:jc w:val="both"/>
            </w:pPr>
            <w:r>
              <w:rPr>
                <w:rFonts w:ascii="Times New Roman"/>
                <w:b w:val="false"/>
                <w:i w:val="false"/>
                <w:color w:val="000000"/>
                <w:sz w:val="20"/>
              </w:rPr>
              <w:t>
 </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1"/>
          <w:p>
            <w:pPr>
              <w:spacing w:after="20"/>
              <w:ind w:left="20"/>
              <w:jc w:val="both"/>
            </w:pPr>
            <w:r>
              <w:rPr>
                <w:rFonts w:ascii="Times New Roman"/>
                <w:b w:val="false"/>
                <w:i w:val="false"/>
                <w:color w:val="000000"/>
                <w:sz w:val="20"/>
              </w:rPr>
              <w:t>
7</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2"/>
          <w:p>
            <w:pPr>
              <w:spacing w:after="20"/>
              <w:ind w:left="20"/>
              <w:jc w:val="both"/>
            </w:pPr>
            <w:r>
              <w:rPr>
                <w:rFonts w:ascii="Times New Roman"/>
                <w:b w:val="false"/>
                <w:i w:val="false"/>
                <w:color w:val="000000"/>
                <w:sz w:val="20"/>
              </w:rPr>
              <w:t>
7</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3"/>
          <w:p>
            <w:pPr>
              <w:spacing w:after="20"/>
              <w:ind w:left="20"/>
              <w:jc w:val="both"/>
            </w:pPr>
            <w:r>
              <w:rPr>
                <w:rFonts w:ascii="Times New Roman"/>
                <w:b w:val="false"/>
                <w:i w:val="false"/>
                <w:color w:val="000000"/>
                <w:sz w:val="20"/>
              </w:rPr>
              <w:t>
16</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16</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5"/>
          <w:p>
            <w:pPr>
              <w:spacing w:after="20"/>
              <w:ind w:left="20"/>
              <w:jc w:val="both"/>
            </w:pPr>
            <w:r>
              <w:rPr>
                <w:rFonts w:ascii="Times New Roman"/>
                <w:b w:val="false"/>
                <w:i w:val="false"/>
                <w:color w:val="000000"/>
                <w:sz w:val="20"/>
              </w:rPr>
              <w:t>
16</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6"/>
          <w:p>
            <w:pPr>
              <w:spacing w:after="20"/>
              <w:ind w:left="20"/>
              <w:jc w:val="both"/>
            </w:pPr>
            <w:r>
              <w:rPr>
                <w:rFonts w:ascii="Times New Roman"/>
                <w:b w:val="false"/>
                <w:i w:val="false"/>
                <w:color w:val="000000"/>
                <w:sz w:val="20"/>
              </w:rPr>
              <w:t>
16</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7"/>
          <w:p>
            <w:pPr>
              <w:spacing w:after="20"/>
              <w:ind w:left="20"/>
              <w:jc w:val="both"/>
            </w:pPr>
            <w:r>
              <w:rPr>
                <w:rFonts w:ascii="Times New Roman"/>
                <w:b w:val="false"/>
                <w:i w:val="false"/>
                <w:color w:val="000000"/>
                <w:sz w:val="20"/>
              </w:rPr>
              <w:t>
16</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8"/>
          <w:p>
            <w:pPr>
              <w:spacing w:after="20"/>
              <w:ind w:left="20"/>
              <w:jc w:val="both"/>
            </w:pPr>
            <w:r>
              <w:rPr>
                <w:rFonts w:ascii="Times New Roman"/>
                <w:b w:val="false"/>
                <w:i w:val="false"/>
                <w:color w:val="000000"/>
                <w:sz w:val="20"/>
              </w:rPr>
              <w:t>
8</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9"/>
          <w:p>
            <w:pPr>
              <w:spacing w:after="20"/>
              <w:ind w:left="20"/>
              <w:jc w:val="both"/>
            </w:pPr>
            <w:r>
              <w:rPr>
                <w:rFonts w:ascii="Times New Roman"/>
                <w:b w:val="false"/>
                <w:i w:val="false"/>
                <w:color w:val="000000"/>
                <w:sz w:val="20"/>
              </w:rPr>
              <w:t>
 </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0"/>
          <w:p>
            <w:pPr>
              <w:spacing w:after="20"/>
              <w:ind w:left="20"/>
              <w:jc w:val="both"/>
            </w:pPr>
            <w:r>
              <w:rPr>
                <w:rFonts w:ascii="Times New Roman"/>
                <w:b w:val="false"/>
                <w:i w:val="false"/>
                <w:color w:val="000000"/>
                <w:sz w:val="20"/>
              </w:rPr>
              <w:t>
8</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