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deab" w14:textId="abfd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2017 жылғы 28 желтоқсандағы № 4 "2018-2020 жылдарға арналған кенттер, ауылдық округтер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2018 жылғы 30 қарашадағы 29 сессиясының № 4 шешімі. Қарағанды облысының Әділет департаментінде 2018 жылғы 19 желтоқсанда № 5076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2017 жылғы 28 желтоқсандағы № 4 "2018-2020 жылдарға арналған кенттер,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4567 болып тіркелген, Қазақстан Республикасы нормативтік құқықтық актілерінің эталондық бақылау банкінде электрондық түрде 2018 жылы 24 қаңтарда, 2018 жылғы 3 ақпандағы "Бұқар жырау жаршысы" № 5 аудандық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Ботақара кенті бюджеті 1, 2 және 3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606 880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17 659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589 221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606 880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113 902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Ғабиден Мұстафин кенті бюджеті 4, 5 және 6 қосымшаларға сәйкес, оның ішінде 2018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84 839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10 386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3 464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70 989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84 839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66 592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Қушоқы кенті бюджеті 7, 8 және 9 қосымшаларға сәйкес, оның ішінде 2018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76 237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11 920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3 936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60 381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76 237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36 411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Доскей ауылдық округінің бюджеті 10, 11 және 12 қосымшаларға сәйкес, оның ішінде 2018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100 352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11 100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4 053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85 199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100 352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79 877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Көкпекті ауылдық округінің бюджеті 13, 14 және 15 қосымшаларға сәйкес, оның ішінде 2018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44 498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9 029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675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34 794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44 498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20 536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Корнеевка ауылдық округінің бюджеті 16, 17 және 18 қосымшаларға сәйкес, оның ішінде 2018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29 898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2 896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842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26 160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29 898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18 542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Петровка ауылдық округінің бюджеті 19, 20 және 21 қосымшаларға сәйкес, оның ішінде 2018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29 428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4 520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3 544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21 364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29 428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19 150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Баймырза ауылдық округінің бюджеті 22, 23 және 24 қосымшаларға сәйкес, оның ішінде 2018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58 835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1 720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506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56 609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58 835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54 394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Ростов ауылдық округінің бюджеті 25, 26 және 27 қосымшаларға сәйкес, оның ішінде 2018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40 825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6 441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1 468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32 916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40 825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29 044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Үштөбе ауылдық округінің бюджеті 28, 29 және 30 қосымшаларға сәйкес, оның ішінде 2018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77 206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20 000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461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56 745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77 206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50 743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Ботақара кенті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Ғабиден Мұстафин кенті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Қушоқы кенті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2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Доскей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Көкпекті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4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Корнеевка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5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Петровка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6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Баймырза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7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Ростов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Үштөбе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0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нысаналы трансферттер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