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eb40" w14:textId="9bce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ауданындағы автотұрақтар (паркингтер) үшін бөлінген жерлерге салынатын базалық салық мөлшерлемелерінің көбеюі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2018 жылғы 19 сәуірдегі 29 сессиясының № 29/324 шешімі. Қарағанды облысының Әділет департаментінде 2018 жылғы 27 сәуірде № 4730 болып тіркелді. Күші жойылды - Қарағанды облысы Абай аудандық мәслихатының 2026 жылғы 20 ақпандағы № 46/429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46/429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мекендердің жерлеріне салынатын салықтың мөлшерлеме көлемінің базалық мөлшерлемесі ұлғайтыла отырып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ауданына жататын автотұрақтар (паркингтер) үшін бөлінген басқа санаттағы жерлерге базалық салық мөлшерлемесін қолдануға жақын жатқан елді мекен болып Абай қаласы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2011 жылғы 12 желтоқсандағы № 42/501 "Абай ауданындағы автотұрақтар үшін бөлінген жерлерге салынатын базалық салық мөлшерлемелерінің көбеюі туралы" 42 сессиясы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8-9-123 болып тіркелген, 2012 жылғы 21 қаңтардағы № 3 (3904) "Абай-Ақиқат" аудандық газетінде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19 сәуір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"Абай ауданының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19 сәуір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автотұрақтар (паркингтер) санаттары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үстiндегi жабық типті автотұрақтар, ашық типті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iшiне салынған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астындағы, жер астындағы, жертөлелердегі, шығыңқы ірге немесе төменгі жер үсті қабаттарда орналасқан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жерлерге салынатын салық мөлшерлемесінің санатына қарай мөлшерлерi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р./с. N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