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1f07" w14:textId="02c1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Бірлік ауылдық округі әкімінің 2018 жылғы 14 маусымдағы № 17 шешімі. Жамбыл облысы Әділет департаментінде 2018 жылғы 3 шілдеде № 38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, Бірлік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лік ауылдық округінің, Бірлік ауылының көше атаулары өзгер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окзальная көшесі – Әулие ат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а көшесі – Бейбітшілік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бная көшесі – Тұр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очная көшесі – Жайла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л Маркс көшесі – Күлтөб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ая көшесі – Жібек жол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ос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