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f865" w14:textId="31bf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Көкдөнен ауылдық округі әкімінің 2018 жылғы 13 маусымдағы № 17 шешімі. Жамбыл облысы Әділет департаментінде 2018 жылғы 2 шілдеде № 3882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обылысы әкімдігі жанындағы ономастика комиссиясының 2018 жылғы 19 сәуірдегі қорытындысы негізінде және тиісті аумақ халқының пікірін ескере отырып, Көкдөнен ауылдық округінің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Көкдөнен ауылдық округінің Жақсылық ауылындағы жаңа көшеге "Тау самалы" атауы берілсін.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Көкдөнен ауылдық округі әкімі аппаратының бас маманы Нұртаза Бақытбекұлы Артыққа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Е.Ж.Ажиров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