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c8cc" w14:textId="f87c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Новосель ауылдық округі әкімінің 2018 жылғы 28 ақпандағы № 1 шешімі. Жамбыл облысы Әділет департаментінде 2018 жылғы 14 наурызда № 3732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Новосель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Новосель ауылдық округінің Юбилейное, Абылхайыр ауылдарындағы көше атаулары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көшесі –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Ворошилова көшесі –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Юбилейная көшесі –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Киевская көшесі –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Октябрьская көшесі – Көктем;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Комсомольская көшесі –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Алматинская көшесі –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Шевченко көшесі –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Абылхайыр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Озерная көшесі – Айдын;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 –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Октябрьская көшесі – Тыныштық;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Молодежная көшесі – Әділет.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Новосель ауылдық округі әкімі аппаратының бас маманы Бекбосынова Мира Шарипхановнаға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