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6c48" w14:textId="b5b6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ауылы бойынша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14 наурыздағы № 23-2 шешімі. Жамбыл облысы Әділет департаментінде 2018 жылғы 28 наурызда № 3754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Мойынқұм ауылы бойынша жерді аймақтарға бөлу жобасы (схемасы),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Жақсыбаев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23-3 шешіміне 1 қосымша</w:t>
            </w:r>
          </w:p>
        </w:tc>
      </w:tr>
    </w:tbl>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23-3 шешіміне 2 қосымша</w:t>
            </w:r>
          </w:p>
        </w:tc>
      </w:tr>
    </w:tbl>
    <w:bookmarkStart w:name="z16" w:id="5"/>
    <w:p>
      <w:pPr>
        <w:spacing w:after="0"/>
        <w:ind w:left="0"/>
        <w:jc w:val="left"/>
      </w:pPr>
      <w:r>
        <w:rPr>
          <w:rFonts w:ascii="Times New Roman"/>
          <w:b/>
          <w:i w:val="false"/>
          <w:color w:val="000000"/>
        </w:rPr>
        <w:t xml:space="preserve"> Мойынқұм ауылы бойынша бағалау аймақтары шекаралары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1598"/>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Бағалау аймақтарының нөмірі</w:t>
            </w:r>
          </w:p>
          <w:bookmarkEnd w:id="6"/>
        </w:tc>
        <w:tc>
          <w:tcPr>
            <w:tcW w:w="1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I</w:t>
            </w:r>
          </w:p>
          <w:bookmarkEnd w:id="7"/>
        </w:tc>
        <w:tc>
          <w:tcPr>
            <w:tcW w:w="1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бағалау аймағының бастапқы нүктесінен шекара Абылайхан көшесінен оңтүстік-шығыс бағытта Амангелді көшесінен өтіп, Амангелді көшесінің бойымен сол жаққа қарай Кебек көшесімен қиылысқанға дейін өтеді. Көбек көшесімен оңтүстік-батыс бағытта сайға дейін өтіп, ары қарай сол бағытта Шу өзеніне дейін өтеді. Ары қарай бағалау аймағының шекарасы Шу өзенінің бойымен Мойынқұм ауылының шекарасына өтіп, ауылдың белгіленген шекарасымен 1-ші бағалау аймағының бастапқы нүктесіне дейін.(алғашқы нүкте)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II</w:t>
            </w:r>
          </w:p>
          <w:bookmarkEnd w:id="8"/>
        </w:tc>
        <w:tc>
          <w:tcPr>
            <w:tcW w:w="1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II-ші бағалау аймағы I-ші бағалау аймағының солтүстік-шығыс бөлігінде орналасқан. II-ші бағалау аймағының бастапқы нүктесінің сипаттамасы болып Абылайхан көшесімен Мойынқұм ауылының шекарасының қиылысы қабылданған, ары қарай ауылдың шекарасымен солтүстік, одан сон оңтүстік-шығыс және оңтүстік-батыс бағытта Шу өзеніне дейін өтіп, Шу өзенінің бойымен солтүстік-батыс бағытында сайға дейін өтеді. Саймен солтүстік-шығыс бағытта Көбек көшесімен Амангелді көшесімен қиылысқанға дейін өтіп, ары қарай Амангелді көшесімен солтүстьік-батыс бағытта бастапқы нүктеге дейін өтеді.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III</w:t>
            </w:r>
          </w:p>
          <w:bookmarkEnd w:id="9"/>
        </w:tc>
        <w:tc>
          <w:tcPr>
            <w:tcW w:w="1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III-ші бағалау аймағы I-ші және II-ші бағалау аймақтарының өңтүстік бөлігінде орналасқан. III-ші бағалау аймағының бастапқы нүктесінің сипаттамасы болып ауылдың шекарасының Шу өзенімен қиылыс нүктесі болып қабылданған, ары қарай Шу өзенімен шығыс бағытта ауылдың шекарасына дейін өтіп, ауылдың шекарасымен бастапқы нүктеге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23-3 шешіміне 3 қосымша</w:t>
            </w:r>
          </w:p>
        </w:tc>
      </w:tr>
    </w:tbl>
    <w:bookmarkStart w:name="z22" w:id="10"/>
    <w:p>
      <w:pPr>
        <w:spacing w:after="0"/>
        <w:ind w:left="0"/>
        <w:jc w:val="left"/>
      </w:pPr>
      <w:r>
        <w:rPr>
          <w:rFonts w:ascii="Times New Roman"/>
          <w:b/>
          <w:i w:val="false"/>
          <w:color w:val="000000"/>
        </w:rPr>
        <w:t xml:space="preserve"> Мойынқұм ауылы бойынша жер учаскелері үшін төлемақының базалық ставкаларына түзету коэффиценттері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Бағалау аймағының нөмірі</w:t>
            </w:r>
          </w:p>
          <w:bookmarkEnd w:id="1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төлемақылық базалық ставкасына түзету коэффиценттері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І</w:t>
            </w:r>
          </w:p>
          <w:bookmarkEnd w:id="1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ІІ</w:t>
            </w:r>
          </w:p>
          <w:bookmarkEnd w:id="1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ІІІ</w:t>
            </w:r>
          </w:p>
          <w:bookmarkEnd w:id="1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