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3f6f" w14:textId="5d63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Ақарал ауылдық округінің Сыпатай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Ақарал ауылдық округі әкімінің 2018 жылғы 22 қаңтардағы № 1-01/07 шешімі. Жамбыл облысы Әділет департаментінде 2018 жылғы 14 ақпанда № 3702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жылғы 24 қарашадағы қорытындысы негізінде және тиісті аумақ халқының пікірін ескере отырып, ауылдық округ әкімі ШЕШІМ ҚАБЫЛДАДЫ: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Ақарал ауылдық округінің Сыпатай ауылы көшелерінің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 - Бәйтерек;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- Орталық;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- Тәуелсіздік;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- Жиделі.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Ақарал ауылдық округі әкімі аппаратының бас маманы А. Жасыбаевқа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Ақарал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Жантайбеков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