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00de" w14:textId="da80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Ойтал ауылдық округі Меркі стансасының және Ойтал ауылының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Ойтал ауылдық округі әкімінің 2018 жылғы 14 желтоқсандағы № 96 шешімі. Жамбыл облысы Әділет департаментінде 2018 жылғы 25 желтоқсанда № 4064 болып тіркелді.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04 қыркүйектегі қорытындысы негізінде және тиісті аумақ халқының пікірін ескере отырып, Ойтал ауылдық округінің әкімі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Ойтал ауылдық округі Меркі стансасының және Ойтал ауылының көше атаулары өзгертілсін: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Меркі стансасы бойынша: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МПС көшесі Бірлік көшесіне; 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Пролетарская көшесі Бәйтерек көшесіне;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Ойтал ауылы бойынша: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Кооперативная көшесі Нұрлы көшесіне. 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Ойтал ауылдық округі әкімінің орынбасары Г. Оспанбековаға жүктелсін.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Ойтал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