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98a2" w14:textId="7ab9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Қызыларық ауылдық округінің Ақтөбе және Терс-Ащыбұлақ ауылдарындағы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Қызыларық ауылдық округі әкімінің 2018 жылғы 4 қаңтардағы № 1 шешімі. Жамбыл облысы Әділет департаментінде 2018 жылғы 16 қантарда № 3675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24 қарашадағы қорытындысы негізінде және тиісті аумақ халқының пікірін ескере отырып, ауылдық округ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Қызыларық ауылдық округінің Ақтөбе, Терс-Ащыбұлақ ауылдары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Ақтөбе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Советская көшесі – Руханият;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Железнодорожная көшесі - Қайнар 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Набережная көшесі - Жаңатұрмыс.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Терс-Ащыбұлақ ауылы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Центральная көшесі – Айнабұлақ;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Мира көшесі – Арай;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Южная көшесі - Мереке.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Қызыларық ауылдық округі әкімі аппаратының бас маманы Нұрсұлтан Нұржанұлы Сырланға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