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ba11" w14:textId="4c5b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Қарой ауылдық округінің Октябрь, Пригородное ауылдарындағы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Қарой ауылдық округі әкімінің 2018 жылғы 31 қаңтардағы № 7 шешімі. Жамбыл облысы Әділет департаментінде 2018 жылғы 14 ақпанда № 3700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жылдың 24 қарашадағы қорытындысы негізінде және тиiстi аумақ халқының пiкiрiн ескере отырып ауылдық округі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Қарой ауылдық округінің Октябрь, Пригородное ауылдарындағы көше атаулары өзгертілсін: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Октябрь ауылы бойынша: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 Сұлусаз көшесіне.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Пригородное ауылы бойынша: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 Таусамалы көшесіне;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Қазына көшесіне;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Ойлы көшесіне;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Седовка көшесі Мыңбұлақ көшесіне;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бұрылысы Теректі көшесіне;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көшесінің 3-бұрылысы Ақсуат көшесіне.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Қарой ауылдық округі әкімінің орынбасары Г.О. Инкашеваға жүктелсін.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Қарой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