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fd60" w14:textId="65df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Түймекент ауылдық округінің Түймекент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Түймекент ауылдық округі әкімінің 2018 жылғы 28 маусымдағы № 24 шешімі. Жамбыл облысы Әділет департаментінде 2018 жылғы 13 шілдеде № 3905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Түймекент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Түймекент ауылдық округі Түймекент ауылындағы "Моношина балка" көшесі "Қарасу" көшесі болып өзгертілсін.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Түймекент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