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7a24" w14:textId="1f8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Жеңіс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Дихан ауылдық округі әкімінің 2018 жылғы 26 шілдедегі № 56 шешімі. Жамбыл облысы Әділет департаментінде 2018 жылғы 9 тамызда № 3925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 Диқан ауылдық округ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Диқан ауылдық округінің Жеңіс ауылындағы көше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 Мәңгілік ел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көшесі Тәуелсіздік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Клубная көшесі Алаш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Набережная көшесі Көкөзек көшесіне.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