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8b73" w14:textId="5078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білім беру саласындағы мемлекеттік көрсетілетін қызметтер регламенттерін бекіту туралы" Жамбыл облысы әкімдігінің 2015 жылғы 25 маусымдағы № 132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2018 жылғы 19 желтоқсандағы № 263 қаулысы. Жамбыл облысы Әділет департаментінде 2018 жылғы 20 желтоқсанда № 4042 болып тіркелді. Күші жойылды - Жамбыл облысы әкімдігінің 2020 жылғы 20 тамыздағы № 189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20.08.2020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білім беру саласындағы мемлекеттік көрсетілетін қызметтер регламенттерін бекіту туралы" Жамбыл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2713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8 тамызында "Ақ жол" газетінде жарияланған) мынадай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"Дамуында проблемалары бар балалар мен жасөспірімдерді оңалту және әлеуметтік бейімдеу"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көрсетудің нәтижесі стандартқа 1-қосымшаға сәйкес берілген нысан бойынша анықтама болып табылады.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көрсетудің нәтижесі: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туралы қолхат (еркін нысанда);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үйде жеке тегін оқыту туралы бұйрық.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облыс әкімінің орынбасарына жүктелсін.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