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c994" w14:textId="388c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ауданының кейбір ауылдық округтары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13 қарашадағы № 221 қаулысы. Жамбыл облысы Әділет департаментінде 2018 жылғы 20 қарашада № 3982 болып тіркелді. Күші жойылды - Жамбыл облысы әкімдігінің 2023 жылғы 20 сәуірдегі № 62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2018 жылғы 17 қыркүйектегі № 6-3-5/742 ұсынысы негізінде,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Жуалы ауданының кейбір ауылдық округтары аумағында залалданған алқаптар көлемінде карантин режимін енгізе отырып, карантин аймағы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(келісімі бойынша), аудан әкімдері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қаулысына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Залалданған алқаптар көлемінде карантин режимін енгізе отырып, карантин аймағы белгіленген Жамбыл облысы Жуалы ауданының кейбір ауылдық округтары аумағы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алтын түстес жұмырқұрты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(Globodera rostochiensis (Wollenweber) Behrens)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"МААК"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"Айкүміс"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"Арапат"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