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443c" w14:textId="c444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есептеу аспаптары жоқ тұтынушылар үшін жылумен жабдықтау жөніндегі коммуналдық көрсетілетін қызметтерді тұтыну нормаларын бекіту туралы</w:t>
      </w:r>
    </w:p>
    <w:p>
      <w:pPr>
        <w:spacing w:after="0"/>
        <w:ind w:left="0"/>
        <w:jc w:val="both"/>
      </w:pPr>
      <w:r>
        <w:rPr>
          <w:rFonts w:ascii="Times New Roman"/>
          <w:b w:val="false"/>
          <w:i w:val="false"/>
          <w:color w:val="000000"/>
          <w:sz w:val="28"/>
        </w:rPr>
        <w:t>Шымкент қаласы әкімдігінің 2018 жылғы 26 қарашадағы № 265 қаулысы. Шымкент қаласының Әділет департаментінде 2018 жылғы 30 қарашада № 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Есептеу аспаптары жоқ тұтынушылар үшін электрмен жабдықтау және жылумен жабдықтау бойынша коммуналдық қызметтерді тұтыну нормаларын есептеудің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10313 болып тіркелген,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қаласында есептеу аспаптары жоқ тұтынушылар үшін жылумен жабдықтау жөніндегі коммуналдық көрсетілетін қызметтерді тұтыну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Н.Ергешбекке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____ қарашадағы</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Шымкент қаласында есептеу аспаптары жоқ тұтынушылар үшін жылумен жабдықтау жөніндегі коммуналдық көрсетілетін қызметтерді тұтыну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5449"/>
        <w:gridCol w:w="1543"/>
        <w:gridCol w:w="4128"/>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және жеке меншік тұрғын үйлердің 1 шаршы метрге жылу қуатының нормасы,</w:t>
            </w:r>
            <w:r>
              <w:br/>
            </w:r>
            <w:r>
              <w:rPr>
                <w:rFonts w:ascii="Times New Roman"/>
                <w:b w:val="false"/>
                <w:i w:val="false"/>
                <w:color w:val="000000"/>
                <w:sz w:val="20"/>
              </w:rPr>
              <w:t>оның ішінде:</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Гкал/м2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0" w:type="auto"/>
            <w:vMerge/>
            <w:tcBorders>
              <w:top w:val="nil"/>
              <w:left w:val="single" w:color="cfcfcf" w:sz="5"/>
              <w:bottom w:val="single" w:color="cfcfcf" w:sz="5"/>
              <w:right w:val="single" w:color="cfcfcf" w:sz="5"/>
            </w:tcBorders>
          </w:tcP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vMerge/>
            <w:tcBorders>
              <w:top w:val="nil"/>
              <w:left w:val="single" w:color="cfcfcf" w:sz="5"/>
              <w:bottom w:val="single" w:color="cfcfcf" w:sz="5"/>
              <w:right w:val="single" w:color="cfcfcf" w:sz="5"/>
            </w:tcBorders>
          </w:tc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0,0158</w:t>
            </w:r>
          </w:p>
        </w:tc>
      </w:tr>
      <w:tr>
        <w:trPr>
          <w:trHeight w:val="30" w:hRule="atLeast"/>
        </w:trPr>
        <w:tc>
          <w:tcPr>
            <w:tcW w:w="0" w:type="auto"/>
            <w:vMerge/>
            <w:tcBorders>
              <w:top w:val="nil"/>
              <w:left w:val="single" w:color="cfcfcf" w:sz="5"/>
              <w:bottom w:val="single" w:color="cfcfcf" w:sz="5"/>
              <w:right w:val="single" w:color="cfcfcf" w:sz="5"/>
            </w:tcBorders>
          </w:tcP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r>
      <w:tr>
        <w:trPr>
          <w:trHeight w:val="30" w:hRule="atLeast"/>
        </w:trPr>
        <w:tc>
          <w:tcPr>
            <w:tcW w:w="0" w:type="auto"/>
            <w:vMerge/>
            <w:tcBorders>
              <w:top w:val="nil"/>
              <w:left w:val="single" w:color="cfcfcf" w:sz="5"/>
              <w:bottom w:val="single" w:color="cfcfcf" w:sz="5"/>
              <w:right w:val="single" w:color="cfcfcf" w:sz="5"/>
            </w:tcBorders>
          </w:tcP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vMerge/>
            <w:tcBorders>
              <w:top w:val="nil"/>
              <w:left w:val="single" w:color="cfcfcf" w:sz="5"/>
              <w:bottom w:val="single" w:color="cfcfcf" w:sz="5"/>
              <w:right w:val="single" w:color="cfcfcf" w:sz="5"/>
            </w:tcBorders>
          </w:tc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w:t>
            </w:r>
          </w:p>
        </w:tc>
      </w:tr>
      <w:tr>
        <w:trPr>
          <w:trHeight w:val="30" w:hRule="atLeast"/>
        </w:trPr>
        <w:tc>
          <w:tcPr>
            <w:tcW w:w="0" w:type="auto"/>
            <w:vMerge/>
            <w:tcBorders>
              <w:top w:val="nil"/>
              <w:left w:val="single" w:color="cfcfcf" w:sz="5"/>
              <w:bottom w:val="single" w:color="cfcfcf" w:sz="5"/>
              <w:right w:val="single" w:color="cfcfcf" w:sz="5"/>
            </w:tcBorders>
          </w:tcP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vMerge/>
            <w:tcBorders>
              <w:top w:val="nil"/>
              <w:left w:val="single" w:color="cfcfcf" w:sz="5"/>
              <w:bottom w:val="single" w:color="cfcfcf" w:sz="5"/>
              <w:right w:val="single" w:color="cfcfcf" w:sz="5"/>
            </w:tcBorders>
          </w:tc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w:t>
            </w:r>
          </w:p>
        </w:tc>
      </w:tr>
      <w:tr>
        <w:trPr>
          <w:trHeight w:val="30" w:hRule="atLeast"/>
        </w:trPr>
        <w:tc>
          <w:tcPr>
            <w:tcW w:w="0" w:type="auto"/>
            <w:vMerge/>
            <w:tcBorders>
              <w:top w:val="nil"/>
              <w:left w:val="single" w:color="cfcfcf" w:sz="5"/>
              <w:bottom w:val="single" w:color="cfcfcf" w:sz="5"/>
              <w:right w:val="single" w:color="cfcfcf" w:sz="5"/>
            </w:tcBorders>
          </w:tcP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vMerge/>
            <w:tcBorders>
              <w:top w:val="nil"/>
              <w:left w:val="single" w:color="cfcfcf" w:sz="5"/>
              <w:bottom w:val="single" w:color="cfcfcf" w:sz="5"/>
              <w:right w:val="single" w:color="cfcfcf" w:sz="5"/>
            </w:tcBorders>
          </w:tc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жылдық ыстық судың нормасы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Гкал/адам</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