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7c93" w14:textId="ded7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2017 жылғы 25 желтоқсандағы "Райымбек ауданының 2018-2020 жылдарға арналған бюджеті туралы" № 29-140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2018 жылғы 28 ақпандағы № 32-152 шешімі. Алматы облысы Әділет департаментінде 2018 жылы 14 наурызда № 4554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104–бабының 4–тармағының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106–бабының 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2001 жылғы 23 қаңтардағы Қазақстан Республикасы Заңының 6–бабының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2018–2020 жылдарға арналған бюджеті туралы" 2017 жылғы 25 желтоқсандағы № 29-140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3–қосымшаларына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9502585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142903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9403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10534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9339745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2033602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1015998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6290145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9560784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60959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97403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36444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119158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119158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аудандық бюджетте ауылдық округтердің бюджеттеріне берілетін ағымдағы нысаналы трансферттердің көзделгені ескерілсін,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шығыстарына;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тәрбиелеу және оқыту және мектепке дейінгі тәрбиелеу және оқыту ұйымдарында медициналық қызмет көрсетуді ұйымдастыруға;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сумен жабдықтауды ұйымдастыруға;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қалаларда, ауылдарда, кенттерде, ауылдық округтерде автомобиль жолдарының жұмыс істеуін қамтамасыз етуге;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Райымбек ауданы әкімдігінің қаулысы негізінде айқындалады.".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28 ақпандағы "Райымбек аудандық мәслихатының 2017 жылғы 25 желтоқсандағы "Райымбек ауданының 2018-2020 жылдарға арналған бюджеті туралы" № 29-140 шешіміне өзгерістер енгізу туралы" № 32-152 шешіміне қосымша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жылғы 25 желтоқсандағы "Райымбек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ауданының 2018-2020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29-140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9502585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9339745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9339745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5828218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