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488" w14:textId="6436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Шалқар аудандық мәслихатының 2018 жылғы 7 маусымдағы № 227 шешімі. Ақтөбе облысы Әділет департаментінің Шалқар аудандық Әділет басқармасында 2018 жылғы 22 маусымда № 3-13-199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11.11.2021 </w:t>
      </w:r>
      <w:r>
        <w:rPr>
          <w:rFonts w:ascii="Times New Roman"/>
          <w:b w:val="false"/>
          <w:i w:val="false"/>
          <w:color w:val="00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ауылдық округтер үшін 2018 жылғы 1 қаңтардан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Утегенов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2018 жылғы 7 маусымдағы № 227 шешіміне қосымша</w:t>
            </w:r>
          </w:p>
        </w:tc>
      </w:tr>
    </w:tbl>
    <w:bookmarkStart w:name="z7" w:id="4"/>
    <w:p>
      <w:pPr>
        <w:spacing w:after="0"/>
        <w:ind w:left="0"/>
        <w:jc w:val="left"/>
      </w:pPr>
      <w:r>
        <w:rPr>
          <w:rFonts w:ascii="Times New Roman"/>
          <w:b/>
          <w:i w:val="false"/>
          <w:color w:val="000000"/>
        </w:rPr>
        <w:t xml:space="preserve"> Шалқар ауданының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аудандық мәслихатының 18.07.2023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Шалқар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5. Осы Регламенттің 4-тармағының ережелерін ескере отырып,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6.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7. Жиналысты аудандық маңызы бар қала, ауыл, кент,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9.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12. Жиналысты аудан мәслихатының депутаттары, аудан әкімі аппаратының, мемлекеттік мекемелер мен кәсіпорындардың, сондай-ақ, мәселелері жиналыста қаралатын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жиналыстың төрағасы мен хатшысының тегі, аты, әкесінің аты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Шалқар аудандық мәслихатының қарауына беріледі.</w:t>
      </w:r>
    </w:p>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16. Әкім жергілікті қоғамдастық жиналысының шешіміне келіспейтіндігін білдірген жағдайда,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19.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