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7d1e" w14:textId="9497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ауданының ауылдық елді мекендеріне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2019 жылға әлеуметтік қолдау көрсету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2018 жылғы 24 желтоқсандағы № 189 шешімі. Ақтөбе облысы Әділет департаментінің Ырғыз аудандық Әділет басқармасында 2018 жылғы 25 желтоқсанда № 3-5-201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"Агроөнеркәсіптік кешенді және ауылдық аумақтарды дамытуды мемлекеттік реттеу туралы"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18 ақпандағы № 183 "Ауылдық елді мекендерге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әлеуметтік қолдау шараларын ұсыну мөлшерін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Ырғыз ауданының ауылдық елді мекендеріне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2019 жылға келесідей әлеуметтік қолдау көрсетілсін: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жүз еселік айлық есептік көрсеткішке тең сомада көтерме жәрдемақы;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тұрғын үй сатып алу немесе салу үшін әлеуметтік қолдау-бір мың бес жүз еселік айлық есептік көрсеткіштен аспайтын сомада- бюджеттік несие.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Ырғыз аудандық мәслихатының 18.07.2019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"Ырғыз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Ырғыз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Ырғыз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Бөлек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