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a611" w14:textId="d1aa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Қараөткел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Қараөткел ауылдық округі әкімінің 2018 жылғы 21 мамырдағы № 2 шешімі. Ақмола облысының Әділет департаментінде 2018 жылғы 4 маусымда № 6645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құрылымы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2017 жылғы 24 қазандағы қорытындысы негізінде, Қараөткел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Қараөткел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 Кәукен Кенжетайұлы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Мира көшесі Хамит Ерғалиев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көшесі Баубек Бұлқышев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Советская көшесі Қайым Мұхамедханов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Қараөткел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