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9963" w14:textId="afa9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25 желтоқсандағы № 6ВС-20-1 "2018-2020 жылдарға арналған Жақсы ауылының, Жақсы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14 қарашадағы № 6ВС-31-3 шешімі. Ақмола облысының Әділет департаментінде 2018 жылғы 26 қарашада № 6855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2017 жылғы 25 желтоқсандағы № 6ВС-20-1 "2018-2020 жылдарға арналған Жақсы ауылының, Жақсы ауданының ауылдық округтерінің бюджеттері туралы" (Нормативтік құқықтық актілерді мемлекеттік тіркеу тізілімінде № 6323 тіркелген, Қазақстан Республикасының нормативтік құқықтық актілерінің электрондық түрдегі эталондық бақылау банкінде 2018 жылдың 26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Жақсы ауылының бюджеті осы шешімнің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42478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Жаңақима ауылдық округінің бюджеті осы шешімінің 4, 5 және 6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29029,6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29029,6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Запорожье ауылдық округінің бюджеті осы шешімнің 7, 8 және 9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23198,5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23198,5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П.Казьмин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2018.14.11.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2018 жылға арналған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2018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8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2018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8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