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75fc" w14:textId="ef0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Есіл ауданының шекарасындағы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 ақпандағы № 24/6 шешімі. Ақмола облысының Әділет департаментінде 2018 жылғы 16 ақпанда № 6412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Есіл ауданының шекарасындағы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