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6c74" w14:textId="aa46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13 наурыздағы № С-10/2 "Еңбекшілдер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29 наурыздағы № С-22/11 шешімі. Ақмола облысының Әділет департаментінде 2018 жылғы 23 сәуірде № 6573 болып тіркелді. Күші жойылды - Ақмола облысы Біржан сал ауданы мәслихатының 2024 жылғы 5 наурыздағы № С-10/2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2017 жылғы 13 желтоқсандағы № 605 "Ақмола облсысының Еңбекшілдер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13 наурыздағы № С-10/2 "Еңбекшілдер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туралы" (Нормативтік құқықтық актілерді тіркеудің мемлекеттік тізілімінде № 5871 тіркелген, 2017 жылдың 12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"Еңбекшілдер ауданында" сөздері "Біржан сал ауданында" сөздеріне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"Еңбекшілдер аудандық мәслихаты" сөздері "Біржан сал ауданының мәслихаты" сөздеріне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