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690e" w14:textId="3b46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Жалтыр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Жалтыр ауылдық округі әкімінің 2018 жылғы 16 шілдедегі № 2 шешімі. Ақмола облысының Әділет департаментінде 2018 жылғы 6 тамызда № 6762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халқының пікірін ескере отырып және Ақмола облыстық ономастика комиссиясының 2018 жылғы 18 сәуірдегі қорытындысы негізінде, Жалтыр ауылдық округі әкімінің міндетін атқарушы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Жалтыр ауылының құрамдас бөліктері қайта аталсын: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Линейная 1 көшесін - Ілияс Есенберлин көшесіне;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Казарма 685 көшесін - Бостандық көшесіне;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Карл Маркс көшесін - Ақан сері көшесіне;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Новая көшесін - Шоқан Уәлиханов көшесіне;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Грейдерная көшесін - Ақ жол көшесіне;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Астраханская көшесін - Құрманғазы көшесіне;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Нефтебазовская көшесін - Ынтымақ көшесіне.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Жалтыр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Н.Лушкина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