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4b3d" w14:textId="3f44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Ақкөл ауданының шекараларында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14 ақпандағы № С 18-3 шешімі. Ақмола облысының Әділет департаментінде 2018 жылғы 27 ақпанда № 6429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Ақкөл ауданының шекараларында пайдаланылмайтын ауыл шаруашылығы мақсатындағы жерлерге бірыңғай жер салығының мөлшерлемелері он есе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аудандық мәслихаттың 2017 жылғы 4 қазандағы № С 15-2 "Ақкөл ауданының шекараларында Қазақстан Республикасының жер заңнамасына сәйкес пайдаланылмайтын ауыл шаруашылығы мақсатындағы жерлерге бірыңғай жер салығының мөлшерлемелерін жоғарылату туралы" (Нормативтік құқықтық актілерді мемлекеттік тіркеу тізілімінде № 6115 тіркелген, Қазақстан Республикасының нормативтік құқықтық актілерінің эталондық бақылау банкінде электронды түрде 2017 жылғы 20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Ақкөл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 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