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a27e" w14:textId="0fda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ұйымдарына құжаттарды қабылдау және балаларды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29 қаңтардағы № 107-166 қаулысы. Астана қаласының Әділет департаментінде 2018 жылғы 13 ақпанда № 1160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"Мектепке дейінгі білім беру ұйымдарына құжаттарды қабылдау және балаларды қабылдау" мемлекеттік қызмет көрсету регламентін бекіту туралы" Астана қаласы әкімдігінің 2015 жылғы 26 қазандағы № 107-1899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972 болып тіркелген, 2015 жылғы 3 желтоқсанда "Астана ақшамы", "Вечерняя Астана"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107-166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 1. Жалпы ережелер</w:t>
      </w:r>
    </w:p>
    <w:bookmarkEnd w:id="6"/>
    <w:bookmarkStart w:name="z9" w:id="7"/>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 (бұдан әрі – мемлекеттік көрсетілетін қызмет) Астана қаласының барлық үлгідегі және түрдегі мектепке дейінгі ұйымдарымен (бұдан әрі – көрсетілетін қызметті беруші) көрсетіледі. </w:t>
      </w:r>
    </w:p>
    <w:bookmarkEnd w:id="7"/>
    <w:p>
      <w:pPr>
        <w:spacing w:after="0"/>
        <w:ind w:left="0"/>
        <w:jc w:val="both"/>
      </w:pPr>
      <w:r>
        <w:rPr>
          <w:rFonts w:ascii="Times New Roman"/>
          <w:b w:val="false"/>
          <w:i w:val="false"/>
          <w:color w:val="000000"/>
          <w:sz w:val="28"/>
        </w:rPr>
        <w:t xml:space="preserve">
      Осы Мемлекеттік көрсетілетін қызмет регламенті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 Қазақстан Республикасы Білім және ғылым министрінің 2017 жылғы 11 қазандағы № 518 бұйрығымен бекітілген (Нормативтік құқықтық актілерді мемлекеттік тіркеу тізілімінде № 15966 болып тіркелген)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 </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 болып табылады. </w:t>
      </w:r>
    </w:p>
    <w:bookmarkEnd w:id="9"/>
    <w:p>
      <w:pPr>
        <w:spacing w:after="0"/>
        <w:ind w:left="0"/>
        <w:jc w:val="both"/>
      </w:pPr>
      <w:r>
        <w:rPr>
          <w:rFonts w:ascii="Times New Roman"/>
          <w:b w:val="false"/>
          <w:i w:val="false"/>
          <w:color w:val="000000"/>
          <w:sz w:val="28"/>
        </w:rPr>
        <w:t>
      Мемлекеттік қызмет көрсету үшін құжаттарды қабылдау және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Көрсетілетін қызметті берушінің көрсетілетін қызметті алушыдан өтініш пен Стандарттың 9-тармағында көзделген қажетті құжаттарды алуы мемлекеттік көрсетілетін қызмет бойынша рәсімді (іс-қимылды) бастау үшін негіз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1-іс-қимыл – көрсетілетін қызметті алушыдан келіп түскен құжаттарды қабылдау және тіркеу – 10 (он) минут.</w:t>
      </w:r>
    </w:p>
    <w:p>
      <w:pPr>
        <w:spacing w:after="0"/>
        <w:ind w:left="0"/>
        <w:jc w:val="both"/>
      </w:pPr>
      <w:r>
        <w:rPr>
          <w:rFonts w:ascii="Times New Roman"/>
          <w:b w:val="false"/>
          <w:i w:val="false"/>
          <w:color w:val="000000"/>
          <w:sz w:val="28"/>
        </w:rPr>
        <w:t>
      Нәтиже – көрсетілетін қызметті берушінің кеңсе қызметкерінің көрсетілетін қызметті алушының құжаттарын қабылдауы және тіркеуі;</w:t>
      </w:r>
    </w:p>
    <w:p>
      <w:pPr>
        <w:spacing w:after="0"/>
        <w:ind w:left="0"/>
        <w:jc w:val="both"/>
      </w:pPr>
      <w:r>
        <w:rPr>
          <w:rFonts w:ascii="Times New Roman"/>
          <w:b w:val="false"/>
          <w:i w:val="false"/>
          <w:color w:val="000000"/>
          <w:sz w:val="28"/>
        </w:rPr>
        <w:t xml:space="preserve">
      2-іс-қимыл – көрсетілетін қызметті берушінің кеңсе қызметкерінің көрсетілетін қызметті беруші мен қызметті алушының арасындағы шартты дайындауы үшін көрсетілетін қызметті алушының құжаттарын көрсетілетін қызметті берушінің жауапты маманына беруі немесе Стандарттың 10-тармағында көзделген жағдайлар мен негіздер бойынша мемлекеттік көрсетілетін қызметтен бас тарту туралы дәлелді жауап – 10 (он) минут. </w:t>
      </w:r>
    </w:p>
    <w:p>
      <w:pPr>
        <w:spacing w:after="0"/>
        <w:ind w:left="0"/>
        <w:jc w:val="both"/>
      </w:pPr>
      <w:r>
        <w:rPr>
          <w:rFonts w:ascii="Times New Roman"/>
          <w:b w:val="false"/>
          <w:i w:val="false"/>
          <w:color w:val="000000"/>
          <w:sz w:val="28"/>
        </w:rPr>
        <w:t xml:space="preserve">
      Нәтиже – көрсетілетін қызметті берушінің жауапты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көрсетілетін қызметті беруші мен қызметті алушының арасындағы шартты жасауы немесе Стандарттың 10-тармағында көзделген мемлекеттік қызметті көрсетуден бас тарту туралы дәлелді жауап болып табылады; </w:t>
      </w:r>
    </w:p>
    <w:p>
      <w:pPr>
        <w:spacing w:after="0"/>
        <w:ind w:left="0"/>
        <w:jc w:val="both"/>
      </w:pPr>
      <w:r>
        <w:rPr>
          <w:rFonts w:ascii="Times New Roman"/>
          <w:b w:val="false"/>
          <w:i w:val="false"/>
          <w:color w:val="000000"/>
          <w:sz w:val="28"/>
        </w:rPr>
        <w:t>
      3-іс-қимыл – көрсетілетін қызметті берушінің жауапты маманының мемлекеттік қызмет көрсету туралы шартты көрсетілетін қызметті берушінің басшысына қол қоюға беруі – 5 (бес) минут.</w:t>
      </w:r>
    </w:p>
    <w:p>
      <w:pPr>
        <w:spacing w:after="0"/>
        <w:ind w:left="0"/>
        <w:jc w:val="both"/>
      </w:pPr>
      <w:r>
        <w:rPr>
          <w:rFonts w:ascii="Times New Roman"/>
          <w:b w:val="false"/>
          <w:i w:val="false"/>
          <w:color w:val="000000"/>
          <w:sz w:val="28"/>
        </w:rPr>
        <w:t>
      Нәтиже – көрсетілетін қызметті беруші басшысының мемлекеттік қызмет көрсету шартына қол қоюы немесе Стандарттың 10-тармағында көзделген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4-іс-қимыл – мемлекеттік қызмет көрсету туралы шартқа қол қою және мектепке дейінгі ұйымға баланы қабылдау – 5 (бес) минут.</w:t>
      </w:r>
    </w:p>
    <w:p>
      <w:pPr>
        <w:spacing w:after="0"/>
        <w:ind w:left="0"/>
        <w:jc w:val="both"/>
      </w:pPr>
      <w:r>
        <w:rPr>
          <w:rFonts w:ascii="Times New Roman"/>
          <w:b w:val="false"/>
          <w:i w:val="false"/>
          <w:color w:val="000000"/>
          <w:sz w:val="28"/>
        </w:rPr>
        <w:t>
      Нәтиже – көрсетілетін қызметті берушінің басшысы қол қойған мемлекеттік қызмет көрсету туралы шартты беру және мектепке дейінгі ұйымға баланы қабылдау немесе Стандарттың 10-тармағында көзделген мемлекеттік қызметті көрсетуден бас тарту туралы дәлелді жауап болып табылады.</w:t>
      </w:r>
    </w:p>
    <w:bookmarkStart w:name="z15" w:id="13"/>
    <w:p>
      <w:pPr>
        <w:spacing w:after="0"/>
        <w:ind w:left="0"/>
        <w:jc w:val="left"/>
      </w:pPr>
      <w:r>
        <w:rPr>
          <w:rFonts w:ascii="Times New Roman"/>
          <w:b/>
          <w:i w:val="false"/>
          <w:color w:val="000000"/>
        </w:rPr>
        <w:t xml:space="preserve"> 3.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қызметті көрсету процесіне қатысатын мемлекеттік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7" w:id="15"/>
    <w:p>
      <w:pPr>
        <w:spacing w:after="0"/>
        <w:ind w:left="0"/>
        <w:jc w:val="both"/>
      </w:pPr>
      <w:r>
        <w:rPr>
          <w:rFonts w:ascii="Times New Roman"/>
          <w:b w:val="false"/>
          <w:i w:val="false"/>
          <w:color w:val="000000"/>
          <w:sz w:val="28"/>
        </w:rPr>
        <w:t>
      7. Әрбір рәсімді (іс-қимылды) көрсете отырып, көрсетілетін қызметті берушінің құрылымдық бөлімшелерінің (қызметкерлерінің) өзара іс-қимылдарының толық сипаттамасы осы регламентке қосымшаға сәйкес мемлекеттік қызмет көрсетудің бизнес – процестерінің анықтамалығында көрсетілген.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балаларды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9" w:id="16"/>
    <w:p>
      <w:pPr>
        <w:spacing w:after="0"/>
        <w:ind w:left="0"/>
        <w:jc w:val="left"/>
      </w:pPr>
      <w:r>
        <w:rPr>
          <w:rFonts w:ascii="Times New Roman"/>
          <w:b/>
          <w:i w:val="false"/>
          <w:color w:val="000000"/>
        </w:rPr>
        <w:t xml:space="preserve"> Рәсімдердің (іс-қимылдардың) көрсетілетін қызметті берушінің құрылымдық бөлімшелерінің (қызметкерлерінің) өзара іс-қимылдары сипаттамасының блок-сызбасы</w:t>
      </w:r>
    </w:p>
    <w:bookmarkEnd w:id="16"/>
    <w:p>
      <w:pPr>
        <w:spacing w:after="0"/>
        <w:ind w:left="0"/>
        <w:jc w:val="left"/>
      </w:pPr>
      <w:r>
        <w:br/>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