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6b1e" w14:textId="9946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301 қаулысы. Қазақстан Республикасының Әділет министрлігінде 2019 жылғы 15 қаңтарда № 18188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және іскерлік қатынастар қашықтықтан орнатылған жағдайда қаржы мониторингі субъектілерінің клиенттерді тиісінше тексеруіне қойылатын талаптарды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17250 болып тіркелген, 2018 жылғы 10 тамызда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Қаржы мониторингі субъектілері мынадай талаптарға сәйкес келетін клиенттермен ғана іскерлік қатынастарды қашықтықтан орнату тәсілімен орнатады:</w:t>
      </w:r>
    </w:p>
    <w:bookmarkEnd w:id="3"/>
    <w:p>
      <w:pPr>
        <w:spacing w:after="0"/>
        <w:ind w:left="0"/>
        <w:jc w:val="both"/>
      </w:pPr>
      <w:r>
        <w:rPr>
          <w:rFonts w:ascii="Times New Roman"/>
          <w:b w:val="false"/>
          <w:i w:val="false"/>
          <w:color w:val="000000"/>
          <w:sz w:val="28"/>
        </w:rPr>
        <w:t>
      1) сәйкестендіру нөмірі (Қазақстан Республикасының заңнамасына сәйкес жеке тұлғаға не заңды тұлғаға сәйкестендіру нөмірі берілмеген жағдайларды қоспағанда) не Қазақстан Республикасының бейрезиденті-жеке тұлға немесе Қазақстан Республикасының бейрезиденті-заңды тұлға шет мемлекетте тіркелген нөмір берілген жеке не заңды тұлға;</w:t>
      </w:r>
    </w:p>
    <w:p>
      <w:pPr>
        <w:spacing w:after="0"/>
        <w:ind w:left="0"/>
        <w:jc w:val="both"/>
      </w:pPr>
      <w:r>
        <w:rPr>
          <w:rFonts w:ascii="Times New Roman"/>
          <w:b w:val="false"/>
          <w:i w:val="false"/>
          <w:color w:val="000000"/>
          <w:sz w:val="28"/>
        </w:rPr>
        <w:t>
      2) клиент (оның өкілі) және бенефициар меншік иесі терроризмді және экстремизмді қаржыландыруға байланысты ұйымдар мен тұлғалардың тізбесіне енгізілген тұлға болып табылмайды;</w:t>
      </w:r>
    </w:p>
    <w:p>
      <w:pPr>
        <w:spacing w:after="0"/>
        <w:ind w:left="0"/>
        <w:jc w:val="both"/>
      </w:pPr>
      <w:r>
        <w:rPr>
          <w:rFonts w:ascii="Times New Roman"/>
          <w:b w:val="false"/>
          <w:i w:val="false"/>
          <w:color w:val="000000"/>
          <w:sz w:val="28"/>
        </w:rPr>
        <w:t>
      3) клиент (оның өкілі) және бенефициар меншік иесі Біріккен Ұлттар Ұйымы Қауіпсіздік Кеңесінің қарарларына сәйкес халықаралық санкциялар (эмбарго) қолданылатын белгіленген тұлға немесе ұйым болып табылмайды;</w:t>
      </w:r>
    </w:p>
    <w:p>
      <w:pPr>
        <w:spacing w:after="0"/>
        <w:ind w:left="0"/>
        <w:jc w:val="both"/>
      </w:pPr>
      <w:r>
        <w:rPr>
          <w:rFonts w:ascii="Times New Roman"/>
          <w:b w:val="false"/>
          <w:i w:val="false"/>
          <w:color w:val="000000"/>
          <w:sz w:val="28"/>
        </w:rPr>
        <w:t xml:space="preserve">
      4) клиент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және ішкі бақылау қағидаларына сәйкес тиісінше тексерудің күшейтілген шараларын қолдану талап етілетін тәуекел деңгейі берілген тұлға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Клиентті сәйкестендіру және аутентификациялау үшін мынадай тәсілдер қолданылады:</w:t>
      </w:r>
    </w:p>
    <w:bookmarkEnd w:id="4"/>
    <w:p>
      <w:pPr>
        <w:spacing w:after="0"/>
        <w:ind w:left="0"/>
        <w:jc w:val="both"/>
      </w:pPr>
      <w:r>
        <w:rPr>
          <w:rFonts w:ascii="Times New Roman"/>
          <w:b w:val="false"/>
          <w:i w:val="false"/>
          <w:color w:val="000000"/>
          <w:sz w:val="28"/>
        </w:rPr>
        <w:t>
      1) жеке немесе заңды тұлғаның электрондық цифрлық қолтаңбасы;</w:t>
      </w:r>
    </w:p>
    <w:p>
      <w:pPr>
        <w:spacing w:after="0"/>
        <w:ind w:left="0"/>
        <w:jc w:val="both"/>
      </w:pPr>
      <w:r>
        <w:rPr>
          <w:rFonts w:ascii="Times New Roman"/>
          <w:b w:val="false"/>
          <w:i w:val="false"/>
          <w:color w:val="000000"/>
          <w:sz w:val="28"/>
        </w:rPr>
        <w:t>
      2) немесе биометриялық сәйкестендіру құралдары;</w:t>
      </w:r>
    </w:p>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қаржы мониторингі субъектісі ақпарат алмасу туралы келісім жасаған екінші деңгейдегі банк немесе Ұлттық пошта операторы шығарған жеке тұлғаны сәйкестендіру және аутентификациялау кезіндегі төлем карточкасының деректемелері (төлем карточкасының нөмірі, қолданылу мерзімі, төлем карточкалары жүйесінің атауы);</w:t>
      </w:r>
    </w:p>
    <w:p>
      <w:pPr>
        <w:spacing w:after="0"/>
        <w:ind w:left="0"/>
        <w:jc w:val="both"/>
      </w:pPr>
      <w:r>
        <w:rPr>
          <w:rFonts w:ascii="Times New Roman"/>
          <w:b w:val="false"/>
          <w:i w:val="false"/>
          <w:color w:val="000000"/>
          <w:sz w:val="28"/>
        </w:rPr>
        <w:t>
      4)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сәйкестендіргіш.</w:t>
      </w:r>
    </w:p>
    <w:p>
      <w:pPr>
        <w:spacing w:after="0"/>
        <w:ind w:left="0"/>
        <w:jc w:val="both"/>
      </w:pPr>
      <w:r>
        <w:rPr>
          <w:rFonts w:ascii="Times New Roman"/>
          <w:b w:val="false"/>
          <w:i w:val="false"/>
          <w:color w:val="000000"/>
          <w:sz w:val="28"/>
        </w:rPr>
        <w:t>
      Осы тармақтың үшінші бөлігінде көзделген жағдайларды қоспағанда, осы тармақтың бірінші бөлігінде айқындалған клиентті сәйкестендіру және аутентификациялау тәсілдерінің бірін немесе жиынтығында бірнешеуін қолдануға болады.</w:t>
      </w:r>
    </w:p>
    <w:p>
      <w:pPr>
        <w:spacing w:after="0"/>
        <w:ind w:left="0"/>
        <w:jc w:val="both"/>
      </w:pPr>
      <w:r>
        <w:rPr>
          <w:rFonts w:ascii="Times New Roman"/>
          <w:b w:val="false"/>
          <w:i w:val="false"/>
          <w:color w:val="000000"/>
          <w:sz w:val="28"/>
        </w:rPr>
        <w:t>
      Осы тармақтың бірінші бөлігінің 4) тармақшасында көзделген клиентті сәйкестендіру және аутентификациялау тәсілі мынадай жағдайлардың бірінде пайдаланылады:</w:t>
      </w:r>
    </w:p>
    <w:p>
      <w:pPr>
        <w:spacing w:after="0"/>
        <w:ind w:left="0"/>
        <w:jc w:val="both"/>
      </w:pPr>
      <w:r>
        <w:rPr>
          <w:rFonts w:ascii="Times New Roman"/>
          <w:b w:val="false"/>
          <w:i w:val="false"/>
          <w:color w:val="000000"/>
          <w:sz w:val="28"/>
        </w:rPr>
        <w:t>
      1) осы тармақтың бірінші бөлігінің 1), 2) және 3) тармақшаларында көзделген клиентті сәйкестендіру және аутентификациялау тәсілдерінің біреуімен немесе бірнешеуімен жиынтығында;</w:t>
      </w:r>
    </w:p>
    <w:p>
      <w:pPr>
        <w:spacing w:after="0"/>
        <w:ind w:left="0"/>
        <w:jc w:val="both"/>
      </w:pPr>
      <w:r>
        <w:rPr>
          <w:rFonts w:ascii="Times New Roman"/>
          <w:b w:val="false"/>
          <w:i w:val="false"/>
          <w:color w:val="000000"/>
          <w:sz w:val="28"/>
        </w:rPr>
        <w:t>
      2)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сақтандыру шарттарын электрондық нысанда жасасқан кезде.</w:t>
      </w:r>
    </w:p>
    <w:p>
      <w:pPr>
        <w:spacing w:after="0"/>
        <w:ind w:left="0"/>
        <w:jc w:val="both"/>
      </w:pPr>
      <w:r>
        <w:rPr>
          <w:rFonts w:ascii="Times New Roman"/>
          <w:b w:val="false"/>
          <w:i w:val="false"/>
          <w:color w:val="000000"/>
          <w:sz w:val="28"/>
        </w:rPr>
        <w:t>
      Клиентті сәйкестендіру және аутентификациялау тәсілін таңдауды қаржы мониторингі субъектісі жүзеге асырады.".</w:t>
      </w:r>
    </w:p>
    <w:bookmarkStart w:name="z8" w:id="5"/>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11"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4"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1"/>
    <w:bookmarkStart w:name="z15" w:id="12"/>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Ә. Смайылов</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2018 жылғы "___"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